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right="-198"/>
        <w:jc w:val="center"/>
        <w:rPr>
          <w:b/>
          <w:sz w:val="32"/>
          <w:szCs w:val="32"/>
          <w:lang w:val="en-GB"/>
        </w:rPr>
      </w:pPr>
      <w:r>
        <w:rPr>
          <w:b/>
          <w:sz w:val="32"/>
          <w:szCs w:val="32"/>
          <w:lang w:val="en-GB"/>
        </w:rPr>
        <w:t>LICENCE IOP – COUPERIN 2022-2024</w:t>
      </w:r>
    </w:p>
    <w:p>
      <w:pPr>
        <w:spacing w:before="100" w:beforeAutospacing="1" w:after="100" w:afterAutospacing="1"/>
        <w:ind w:right="-199"/>
        <w:jc w:val="both"/>
        <w:rPr>
          <w:sz w:val="22"/>
          <w:szCs w:val="22"/>
          <w:lang w:val="en-GB"/>
        </w:rPr>
      </w:pPr>
      <w:r>
        <w:rPr>
          <w:sz w:val="22"/>
          <w:szCs w:val="22"/>
          <w:lang w:val="en-GB"/>
        </w:rPr>
        <w:t>THIS LICENCE IS AGREED BETWEEN IOP PUBLISHING LIMITED of Temple Circus, Temple Way, Bristol BS1 6HG England ("IOP") and [Customer Name] described in Schedule 1 (the “Licensee”) whose name, address and contact details are included in Schedule 2.</w:t>
      </w:r>
    </w:p>
    <w:p>
      <w:pPr>
        <w:spacing w:before="28" w:after="28"/>
        <w:ind w:right="-199" w:firstLine="720"/>
        <w:rPr>
          <w:color w:val="000000"/>
          <w:sz w:val="22"/>
          <w:szCs w:val="22"/>
          <w:lang w:val="en-GB"/>
        </w:rPr>
      </w:pPr>
      <w:r>
        <w:rPr>
          <w:color w:val="000000"/>
          <w:sz w:val="22"/>
          <w:szCs w:val="22"/>
          <w:lang w:val="en-GB"/>
        </w:rPr>
        <w:t>Unless other terms are specified in these General Conditions,</w:t>
      </w:r>
    </w:p>
    <w:p>
      <w:pPr>
        <w:pStyle w:val="Paragraphedeliste"/>
        <w:numPr>
          <w:ilvl w:val="0"/>
          <w:numId w:val="2"/>
        </w:numPr>
        <w:spacing w:before="28" w:after="28"/>
        <w:ind w:right="-199"/>
        <w:rPr>
          <w:color w:val="000000"/>
          <w:sz w:val="22"/>
          <w:szCs w:val="22"/>
          <w:lang w:val="en-GB"/>
        </w:rPr>
      </w:pPr>
      <w:r>
        <w:rPr>
          <w:color w:val="000000"/>
          <w:sz w:val="22"/>
          <w:szCs w:val="22"/>
          <w:lang w:val="en-GB"/>
        </w:rPr>
        <w:t>The [Customer name] is called “Licensee”,</w:t>
      </w:r>
    </w:p>
    <w:p>
      <w:pPr>
        <w:spacing w:before="28" w:after="28"/>
        <w:ind w:right="-199"/>
        <w:jc w:val="both"/>
        <w:rPr>
          <w:color w:val="000000"/>
          <w:sz w:val="22"/>
          <w:szCs w:val="22"/>
          <w:lang w:val="en-GB"/>
        </w:rPr>
      </w:pPr>
    </w:p>
    <w:p>
      <w:pPr>
        <w:rPr>
          <w:sz w:val="22"/>
          <w:szCs w:val="22"/>
        </w:rPr>
      </w:pPr>
      <w:r>
        <w:rPr>
          <w:color w:val="000000"/>
          <w:sz w:val="22"/>
          <w:szCs w:val="22"/>
        </w:rPr>
        <w:t xml:space="preserve">CETTE LICENCE EST CONCLUE ENTRE IOP PUBLISHING LIMITED, dont le siège social est sis Temple Circus, Temple </w:t>
      </w:r>
      <w:proofErr w:type="spellStart"/>
      <w:r>
        <w:rPr>
          <w:color w:val="000000"/>
          <w:sz w:val="22"/>
          <w:szCs w:val="22"/>
        </w:rPr>
        <w:t>Way</w:t>
      </w:r>
      <w:proofErr w:type="spellEnd"/>
      <w:r>
        <w:rPr>
          <w:color w:val="000000"/>
          <w:sz w:val="22"/>
          <w:szCs w:val="22"/>
        </w:rPr>
        <w:t>, Bristol BS1 6HG, Angleterre (« IOP ») et</w:t>
      </w:r>
      <w:r>
        <w:rPr>
          <w:color w:val="000000" w:themeColor="text1"/>
          <w:sz w:val="22"/>
          <w:szCs w:val="22"/>
        </w:rPr>
        <w:t>, décrite en Annexe 1 (« Le Titulaire de Licence »).</w:t>
      </w:r>
    </w:p>
    <w:p>
      <w:pPr>
        <w:spacing w:before="28" w:after="28"/>
        <w:ind w:right="-199"/>
        <w:jc w:val="both"/>
        <w:rPr>
          <w:color w:val="000000"/>
          <w:sz w:val="22"/>
          <w:szCs w:val="22"/>
        </w:rPr>
      </w:pPr>
    </w:p>
    <w:p>
      <w:pPr>
        <w:spacing w:before="28" w:after="28"/>
        <w:ind w:right="-199"/>
        <w:jc w:val="both"/>
        <w:rPr>
          <w:color w:val="000000"/>
          <w:sz w:val="22"/>
          <w:szCs w:val="22"/>
        </w:rPr>
      </w:pPr>
      <w:r>
        <w:rPr>
          <w:color w:val="000000"/>
          <w:sz w:val="22"/>
          <w:szCs w:val="22"/>
        </w:rPr>
        <w:tab/>
        <w:t>Sauf stipulation contraire dans les présentes Conditions générales,</w:t>
      </w:r>
    </w:p>
    <w:p>
      <w:pPr>
        <w:pStyle w:val="Paragraphedeliste"/>
        <w:numPr>
          <w:ilvl w:val="0"/>
          <w:numId w:val="1"/>
        </w:numPr>
        <w:spacing w:before="28" w:after="28"/>
        <w:ind w:right="-199"/>
        <w:jc w:val="both"/>
        <w:rPr>
          <w:color w:val="000000"/>
          <w:sz w:val="22"/>
          <w:szCs w:val="22"/>
        </w:rPr>
      </w:pPr>
      <w:r>
        <w:rPr>
          <w:color w:val="000000"/>
          <w:sz w:val="22"/>
          <w:szCs w:val="22"/>
        </w:rPr>
        <w:t xml:space="preserve">[Customer </w:t>
      </w:r>
      <w:proofErr w:type="spellStart"/>
      <w:r>
        <w:rPr>
          <w:color w:val="000000"/>
          <w:sz w:val="22"/>
          <w:szCs w:val="22"/>
        </w:rPr>
        <w:t>name</w:t>
      </w:r>
      <w:proofErr w:type="spellEnd"/>
      <w:r>
        <w:rPr>
          <w:color w:val="000000"/>
          <w:sz w:val="22"/>
          <w:szCs w:val="22"/>
        </w:rPr>
        <w:t>] est désigné par le terme « Titulaire de Licence »,</w:t>
      </w:r>
    </w:p>
    <w:p>
      <w:pPr>
        <w:rPr>
          <w:sz w:val="22"/>
          <w:szCs w:val="22"/>
        </w:rPr>
      </w:pPr>
    </w:p>
    <w:p>
      <w:pPr>
        <w:numPr>
          <w:ilvl w:val="0"/>
          <w:numId w:val="5"/>
        </w:numPr>
        <w:jc w:val="both"/>
        <w:rPr>
          <w:sz w:val="22"/>
          <w:szCs w:val="22"/>
          <w:lang w:val="en-GB"/>
        </w:rPr>
      </w:pPr>
      <w:r>
        <w:rPr>
          <w:sz w:val="22"/>
          <w:szCs w:val="22"/>
          <w:lang w:val="en-GB"/>
        </w:rPr>
        <w:t xml:space="preserve">IOP agrees that the Licensee may give Authorised Users (defined in standard condition 1) electronic access to the journals listed in Schedule 3 (the “Title Lists”), as part of IOP Standard or </w:t>
      </w:r>
      <w:proofErr w:type="spellStart"/>
      <w:r>
        <w:rPr>
          <w:sz w:val="22"/>
          <w:szCs w:val="22"/>
          <w:lang w:val="en-GB"/>
        </w:rPr>
        <w:t>IOPscience</w:t>
      </w:r>
      <w:proofErr w:type="spellEnd"/>
      <w:r>
        <w:rPr>
          <w:sz w:val="22"/>
          <w:szCs w:val="22"/>
          <w:lang w:val="en-GB"/>
        </w:rPr>
        <w:t xml:space="preserve"> extra Complete (as applicable) (the “Service”), subject to these terms and conditions.  </w:t>
      </w:r>
    </w:p>
    <w:p>
      <w:pPr>
        <w:jc w:val="both"/>
        <w:rPr>
          <w:sz w:val="22"/>
          <w:szCs w:val="22"/>
          <w:lang w:val="en-GB"/>
        </w:rPr>
      </w:pPr>
    </w:p>
    <w:p>
      <w:pPr>
        <w:ind w:left="360"/>
        <w:jc w:val="both"/>
        <w:rPr>
          <w:color w:val="FF0000"/>
          <w:sz w:val="22"/>
          <w:szCs w:val="22"/>
        </w:rPr>
      </w:pPr>
      <w:r>
        <w:rPr>
          <w:sz w:val="22"/>
          <w:szCs w:val="22"/>
        </w:rPr>
        <w:t xml:space="preserve">IOP consent à ce que le Titulaire de Licence puisse proposer un accès électronique aux Utilisateurs </w:t>
      </w:r>
      <w:proofErr w:type="gramStart"/>
      <w:r>
        <w:rPr>
          <w:sz w:val="22"/>
          <w:szCs w:val="22"/>
        </w:rPr>
        <w:t>autorisés</w:t>
      </w:r>
      <w:proofErr w:type="gramEnd"/>
      <w:r>
        <w:rPr>
          <w:sz w:val="22"/>
          <w:szCs w:val="22"/>
        </w:rPr>
        <w:t xml:space="preserve"> (tels que définis dans la </w:t>
      </w:r>
      <w:r>
        <w:rPr>
          <w:color w:val="000000"/>
          <w:sz w:val="22"/>
          <w:szCs w:val="22"/>
        </w:rPr>
        <w:t xml:space="preserve">clause </w:t>
      </w:r>
      <w:r>
        <w:rPr>
          <w:sz w:val="22"/>
          <w:szCs w:val="22"/>
        </w:rPr>
        <w:t xml:space="preserve">standard 1) aux publications répertoriées aux Annexe 3 (« listes de titres ») en fonction de l’option choisie : IOP Standard ou IOP science extra Complete (« le Service »), sous réserve des présentes conditions générales. </w:t>
      </w:r>
    </w:p>
    <w:p>
      <w:pPr>
        <w:rPr>
          <w:sz w:val="22"/>
          <w:szCs w:val="22"/>
        </w:rPr>
      </w:pPr>
    </w:p>
    <w:p>
      <w:pPr>
        <w:numPr>
          <w:ilvl w:val="0"/>
          <w:numId w:val="5"/>
        </w:numPr>
        <w:tabs>
          <w:tab w:val="clear" w:pos="360"/>
        </w:tabs>
        <w:ind w:left="426" w:hanging="426"/>
        <w:jc w:val="both"/>
        <w:rPr>
          <w:sz w:val="22"/>
          <w:szCs w:val="22"/>
          <w:lang w:val="en-GB"/>
        </w:rPr>
      </w:pPr>
      <w:r>
        <w:rPr>
          <w:sz w:val="22"/>
          <w:szCs w:val="22"/>
          <w:lang w:val="en-GB"/>
        </w:rPr>
        <w:t>The Licensee will access the Journals through the IP addresses set out in Schedule 2 or through IP addresses previously supplied to IOP where the Licensee has registered to access an electronic journals service of IOP (the “IP addresses”).  The Licensee shall notify IOP in writing if the IP addresses previously supplied to IOP are now inaccurate or incomplete and shall also notify IOP in writing if, at any time during the term of this Licence, there are any changes to the IP addresses.</w:t>
      </w:r>
    </w:p>
    <w:p>
      <w:pPr>
        <w:ind w:left="426"/>
        <w:jc w:val="both"/>
        <w:rPr>
          <w:sz w:val="22"/>
          <w:szCs w:val="22"/>
          <w:lang w:val="en-GB"/>
        </w:rPr>
      </w:pPr>
    </w:p>
    <w:p>
      <w:pPr>
        <w:ind w:left="360"/>
        <w:jc w:val="both"/>
        <w:rPr>
          <w:sz w:val="22"/>
          <w:szCs w:val="22"/>
        </w:rPr>
      </w:pPr>
      <w:r>
        <w:rPr>
          <w:sz w:val="22"/>
          <w:szCs w:val="22"/>
        </w:rPr>
        <w:t>Le Titulaire de Licence accédera aux publications à l’aide des adresses IP indiquées à l’Annexe 2 ou précédemment fournies à IOP lors de l’inscription de Titulaire de Licence pour accéder à un service de publications électroniques d’IOP (les « adresses IP »).  Le Titulaire de Licence devra informer IOP par écrit si les adresses IP précédemment fournies sont inexactes ou incomplètes et devront également signaler à IOP par écrit, à tout moment pendant la période de la présente Licence, toute modification apportée aux adresses IP.</w:t>
      </w:r>
    </w:p>
    <w:p>
      <w:pPr>
        <w:rPr>
          <w:sz w:val="22"/>
          <w:szCs w:val="22"/>
        </w:rPr>
      </w:pPr>
    </w:p>
    <w:p>
      <w:pPr>
        <w:numPr>
          <w:ilvl w:val="0"/>
          <w:numId w:val="5"/>
        </w:numPr>
        <w:tabs>
          <w:tab w:val="clear" w:pos="360"/>
        </w:tabs>
        <w:ind w:left="426" w:hanging="426"/>
        <w:jc w:val="both"/>
        <w:rPr>
          <w:sz w:val="22"/>
          <w:szCs w:val="22"/>
          <w:lang w:val="en-GB"/>
        </w:rPr>
      </w:pPr>
      <w:r>
        <w:rPr>
          <w:sz w:val="22"/>
          <w:szCs w:val="22"/>
          <w:lang w:val="en-GB"/>
        </w:rPr>
        <w:t>This Licence is subject to the IOP Standard Terms and Conditions which are set out in Schedule 1.</w:t>
      </w:r>
    </w:p>
    <w:p>
      <w:pPr>
        <w:jc w:val="both"/>
        <w:rPr>
          <w:sz w:val="22"/>
          <w:szCs w:val="22"/>
          <w:lang w:val="en-GB"/>
        </w:rPr>
      </w:pPr>
    </w:p>
    <w:p>
      <w:pPr>
        <w:ind w:left="360"/>
        <w:jc w:val="both"/>
        <w:rPr>
          <w:sz w:val="22"/>
          <w:szCs w:val="22"/>
        </w:rPr>
      </w:pPr>
      <w:r>
        <w:rPr>
          <w:sz w:val="22"/>
          <w:szCs w:val="22"/>
        </w:rPr>
        <w:t>La présente Licence est soumise aux conditions générales standard d’IOP détaillées dans l’Annexe 1.</w:t>
      </w:r>
    </w:p>
    <w:p>
      <w:pPr>
        <w:ind w:left="426" w:hanging="426"/>
        <w:jc w:val="both"/>
        <w:rPr>
          <w:sz w:val="22"/>
          <w:szCs w:val="22"/>
        </w:rPr>
      </w:pPr>
    </w:p>
    <w:p>
      <w:pPr>
        <w:pStyle w:val="Paragraphedeliste"/>
        <w:numPr>
          <w:ilvl w:val="0"/>
          <w:numId w:val="5"/>
        </w:numPr>
        <w:jc w:val="both"/>
        <w:rPr>
          <w:sz w:val="22"/>
          <w:szCs w:val="22"/>
          <w:lang w:val="en-GB"/>
        </w:rPr>
      </w:pPr>
      <w:r>
        <w:rPr>
          <w:sz w:val="22"/>
          <w:szCs w:val="22"/>
          <w:lang w:val="en-GB"/>
        </w:rPr>
        <w:t>Any amendments to these terms and conditions must be in writing and signed by both parties.</w:t>
      </w:r>
    </w:p>
    <w:p>
      <w:pPr>
        <w:ind w:left="360"/>
        <w:jc w:val="both"/>
        <w:rPr>
          <w:sz w:val="22"/>
          <w:szCs w:val="22"/>
          <w:lang w:val="en-GB"/>
        </w:rPr>
      </w:pPr>
    </w:p>
    <w:p>
      <w:pPr>
        <w:ind w:left="360"/>
        <w:jc w:val="both"/>
        <w:rPr>
          <w:sz w:val="22"/>
          <w:szCs w:val="22"/>
        </w:rPr>
      </w:pPr>
      <w:r>
        <w:rPr>
          <w:sz w:val="22"/>
          <w:szCs w:val="22"/>
        </w:rPr>
        <w:t>Toute modification apportée à ces conditions générales devra être effectuée par écrit et signée par les deux parties.</w:t>
      </w:r>
    </w:p>
    <w:p>
      <w:pPr>
        <w:ind w:left="360"/>
        <w:jc w:val="both"/>
        <w:rPr>
          <w:sz w:val="22"/>
          <w:szCs w:val="22"/>
        </w:rPr>
      </w:pPr>
    </w:p>
    <w:p>
      <w:pPr>
        <w:numPr>
          <w:ilvl w:val="0"/>
          <w:numId w:val="5"/>
        </w:numPr>
        <w:jc w:val="both"/>
        <w:rPr>
          <w:sz w:val="22"/>
          <w:szCs w:val="22"/>
          <w:lang w:val="en-GB"/>
        </w:rPr>
      </w:pPr>
      <w:bookmarkStart w:id="0" w:name="_Hlk22815344"/>
      <w:bookmarkStart w:id="1" w:name="_Hlk22717935"/>
      <w:r>
        <w:rPr>
          <w:sz w:val="22"/>
          <w:szCs w:val="22"/>
          <w:lang w:val="en-GB"/>
        </w:rPr>
        <w:t>This Licence shall commence on the 1</w:t>
      </w:r>
      <w:r>
        <w:rPr>
          <w:sz w:val="22"/>
          <w:szCs w:val="22"/>
          <w:vertAlign w:val="superscript"/>
          <w:lang w:val="en-GB"/>
        </w:rPr>
        <w:t>st</w:t>
      </w:r>
      <w:r>
        <w:rPr>
          <w:sz w:val="22"/>
          <w:szCs w:val="22"/>
          <w:lang w:val="en-GB"/>
        </w:rPr>
        <w:t xml:space="preserve"> of January 2022 and, subject to earlier termination, shall end on 31 December 2024. It shall then continue on an annual rolling basis on condition that the Licensee continues to pay the applicable Licence Fee. The parties agree that any titles newly launched by IOP during the term of this Licence will be available to the Licensee for access free of charge for the duration of this Licence and that, on termination, the Licensee shall not have any </w:t>
      </w:r>
      <w:r>
        <w:rPr>
          <w:sz w:val="22"/>
          <w:szCs w:val="22"/>
          <w:lang w:val="en-GB"/>
        </w:rPr>
        <w:lastRenderedPageBreak/>
        <w:t>continued access rights to the newly launched titles. On renewal of this Licence, the titles shall only be added if all the applicable Licensee wishes to have access to them and the Licensee pays any agreed additional fee. Where IOP starts to publish any third-party titles then these shall only be added to Schedule 3 if the Licensee wishes to have access to them, the parties agrees to the addition in writing and the Licensee pays any agreed additional fee. IOP shall provide to the Licensee an invoice in respect of any additional fees payable under this Licence and such additional fees shall be paid to IOP within 30 days of the date of the invoice.</w:t>
      </w:r>
    </w:p>
    <w:bookmarkEnd w:id="0"/>
    <w:p>
      <w:pPr>
        <w:jc w:val="both"/>
        <w:rPr>
          <w:sz w:val="22"/>
          <w:szCs w:val="22"/>
          <w:lang w:val="en-GB"/>
        </w:rPr>
      </w:pPr>
    </w:p>
    <w:p>
      <w:pPr>
        <w:ind w:left="360"/>
        <w:jc w:val="both"/>
        <w:rPr>
          <w:color w:val="000000" w:themeColor="text1"/>
          <w:sz w:val="22"/>
          <w:szCs w:val="22"/>
        </w:rPr>
      </w:pPr>
      <w:r>
        <w:rPr>
          <w:sz w:val="22"/>
          <w:szCs w:val="22"/>
        </w:rPr>
        <w:t xml:space="preserve">La présente Licence commencera le 1er janvier 2022 et, sous réserve d’une résiliation anticipée, prendra fin le 31 décembre 2024. Elle sera ensuite renouvelée chaque année, à condition que le Titulaire de Licence continue à payer les frais de licence applicables. Les parties conviennent que toutes les publications nouvellement lancées par IOP pendant la durée de la présente licence seront accessibles gratuitement au Titulaire de Licence pendant la durée de la présente Licence et qu’en cas de résiliation, le Titulaire de Licence ne disposera plus d’aucun droit d’accès au contenu de ces nouvelles publications. Lors du renouvellement de cette Licence, les publications ne seront ajoutées que si tous les Titulaires de Licence concernés souhaitent y avoir accès et si le Titulaire de Licence paie les frais supplémentaires convenus. Si IOP commence la publication d’un titre d’un éditeur tiers, celui-ci ne sera ajouté à l’Annexe 3 que si l’ensemble des souscripteurs </w:t>
      </w:r>
      <w:r>
        <w:rPr>
          <w:color w:val="000000" w:themeColor="text1"/>
          <w:sz w:val="22"/>
          <w:szCs w:val="22"/>
        </w:rPr>
        <w:t>de chacune de ces options en souhaite l’accès à titre payant. IOP devra fournir au Titulaire de Licence une facture prenant en compte tous les frais supplémentaires à payer sous 30 jours à réception de facture.</w:t>
      </w:r>
      <w:bookmarkEnd w:id="1"/>
      <w:r>
        <w:rPr>
          <w:color w:val="000000" w:themeColor="text1"/>
          <w:sz w:val="22"/>
          <w:szCs w:val="22"/>
        </w:rPr>
        <w:tab/>
      </w:r>
    </w:p>
    <w:p>
      <w:pPr>
        <w:numPr>
          <w:ilvl w:val="0"/>
          <w:numId w:val="5"/>
        </w:numPr>
        <w:jc w:val="both"/>
        <w:rPr>
          <w:sz w:val="22"/>
          <w:szCs w:val="22"/>
          <w:lang w:val="en-GB"/>
        </w:rPr>
      </w:pPr>
      <w:r>
        <w:rPr>
          <w:sz w:val="22"/>
          <w:szCs w:val="22"/>
          <w:lang w:val="en-GB"/>
        </w:rPr>
        <w:t>The Licensee shall not assign or transfer its right to access the Service to any other institution, organisation or person.</w:t>
      </w:r>
    </w:p>
    <w:p>
      <w:pPr>
        <w:jc w:val="both"/>
        <w:rPr>
          <w:sz w:val="22"/>
          <w:szCs w:val="22"/>
          <w:lang w:val="en-GB"/>
        </w:rPr>
      </w:pPr>
    </w:p>
    <w:p>
      <w:pPr>
        <w:ind w:left="360"/>
        <w:jc w:val="both"/>
        <w:rPr>
          <w:sz w:val="22"/>
          <w:szCs w:val="22"/>
        </w:rPr>
      </w:pPr>
      <w:r>
        <w:rPr>
          <w:sz w:val="22"/>
          <w:szCs w:val="22"/>
        </w:rPr>
        <w:t>Licence ni aucun de Titulaire de Licence ne pourra céder ou transférer ses droits d’accès au Service à un autre établissement, une autre organisation ou une autre personne.</w:t>
      </w:r>
    </w:p>
    <w:p>
      <w:pPr>
        <w:jc w:val="both"/>
        <w:rPr>
          <w:sz w:val="22"/>
          <w:szCs w:val="22"/>
        </w:rPr>
      </w:pPr>
    </w:p>
    <w:p>
      <w:pPr>
        <w:numPr>
          <w:ilvl w:val="0"/>
          <w:numId w:val="5"/>
        </w:numPr>
        <w:tabs>
          <w:tab w:val="clear" w:pos="360"/>
        </w:tabs>
        <w:ind w:left="426" w:hanging="426"/>
        <w:jc w:val="both"/>
        <w:rPr>
          <w:sz w:val="22"/>
          <w:szCs w:val="22"/>
          <w:lang w:val="en-GB"/>
        </w:rPr>
      </w:pPr>
      <w:r>
        <w:rPr>
          <w:sz w:val="22"/>
          <w:szCs w:val="22"/>
          <w:lang w:val="en-GB"/>
        </w:rPr>
        <w:t>These terms and conditions apply only to electronic access by the Licensee to the Service.  Separate licence agreements are available for IOP’s other products and services.  For the avoidance of doubt, where the Licensee has previously entered into a separate agreement with IOP, including, but not limited to, an archive agreement, and that agreement is still in force, the Licensee’s rights and obligations under that agreement which relate to that other service are unaffected by these terms and conditions.</w:t>
      </w:r>
    </w:p>
    <w:p>
      <w:pPr>
        <w:ind w:left="360"/>
        <w:jc w:val="both"/>
        <w:rPr>
          <w:sz w:val="22"/>
          <w:szCs w:val="22"/>
          <w:lang w:val="en-GB"/>
        </w:rPr>
      </w:pPr>
    </w:p>
    <w:p>
      <w:pPr>
        <w:ind w:left="360"/>
        <w:jc w:val="both"/>
        <w:rPr>
          <w:sz w:val="22"/>
          <w:szCs w:val="22"/>
        </w:rPr>
      </w:pPr>
      <w:r>
        <w:rPr>
          <w:sz w:val="22"/>
          <w:szCs w:val="22"/>
        </w:rPr>
        <w:t>Les présentes conditions générales s’appliquent uniquement à l’accès au Service en ligne par le Titulaire de Licence. Des contrats de licence distincts sont disponibles pour les autres produits et services d’IOP. Afin de dissiper tout doute, si le Titulaire de Licence a déjà conclu un accord distinct avec IOP, y compris, sans s’y limiter, un accord de consultation des archives, et si ce contrat est toujours en vigueur, leurs droits et obligations se rapportant à cet autre service ne sont pas concernés par les présentes conditions générales.</w:t>
      </w:r>
    </w:p>
    <w:p>
      <w:pPr>
        <w:rPr>
          <w:kern w:val="28"/>
          <w:sz w:val="22"/>
          <w:szCs w:val="22"/>
        </w:rPr>
      </w:pPr>
    </w:p>
    <w:p>
      <w:pPr>
        <w:numPr>
          <w:ilvl w:val="0"/>
          <w:numId w:val="5"/>
        </w:numPr>
        <w:tabs>
          <w:tab w:val="clear" w:pos="360"/>
        </w:tabs>
        <w:ind w:left="426" w:hanging="426"/>
        <w:jc w:val="both"/>
        <w:rPr>
          <w:sz w:val="22"/>
          <w:szCs w:val="22"/>
          <w:lang w:val="en-GB"/>
        </w:rPr>
      </w:pPr>
      <w:r>
        <w:rPr>
          <w:kern w:val="28"/>
          <w:sz w:val="22"/>
          <w:szCs w:val="22"/>
          <w:lang w:val="en-GB"/>
        </w:rPr>
        <w:t>IOP’s online journals and their content, including abstracts, are either owned by IOP or IOP has the right to make them available and are subject to all applicable copyright, database protection and other rights of copyright owners and publishers under the laws of England and other countries.  Authorised Users shall claim no ownership by reason of their use of or access to the Service. ALL RIGHTS RESERVED. IOP has the exclusive right to enter into a licence with the Licensee regarding access to the Service.</w:t>
      </w:r>
    </w:p>
    <w:p>
      <w:pPr>
        <w:jc w:val="both"/>
        <w:rPr>
          <w:sz w:val="22"/>
          <w:szCs w:val="22"/>
          <w:lang w:val="en-GB"/>
        </w:rPr>
      </w:pPr>
    </w:p>
    <w:p>
      <w:pPr>
        <w:ind w:left="360"/>
        <w:jc w:val="both"/>
        <w:rPr>
          <w:sz w:val="22"/>
          <w:szCs w:val="22"/>
        </w:rPr>
      </w:pPr>
      <w:r>
        <w:rPr>
          <w:sz w:val="22"/>
          <w:szCs w:val="22"/>
        </w:rPr>
        <w:t>Les publications en ligne d’IOP et leur contenu, résumés compris, sont soit la propriété d’IOP soit diffusés légalement par IOP et sont protégées par l’ensemble des droits d’auteur, des protections des bases de données et autres droits d’auteur des propriétaires et éditeurs applicables, conformément à la législation anglaise et d’autres pays. Les Utilisateurs autorisés ne pourront revendiquer aucun droit de propriété au titre de leur utilisation ou accès au Service.  TOUS DROITS RESERVÉS.  IOP détient le droit exclusif de conclure un contrat de licence avec le Titulaire de Licence relatif à l’accès au Service.</w:t>
      </w:r>
    </w:p>
    <w:p>
      <w:pPr>
        <w:ind w:left="360"/>
        <w:jc w:val="both"/>
        <w:rPr>
          <w:sz w:val="22"/>
          <w:szCs w:val="22"/>
        </w:rPr>
      </w:pPr>
    </w:p>
    <w:p>
      <w:pPr>
        <w:pStyle w:val="Paragraphedeliste"/>
        <w:numPr>
          <w:ilvl w:val="0"/>
          <w:numId w:val="5"/>
        </w:numPr>
        <w:jc w:val="both"/>
        <w:rPr>
          <w:sz w:val="22"/>
          <w:szCs w:val="22"/>
        </w:rPr>
      </w:pPr>
      <w:r>
        <w:rPr>
          <w:b/>
          <w:sz w:val="22"/>
          <w:szCs w:val="22"/>
        </w:rPr>
        <w:t>SCHEDULE LIST / LISTE DES ANNEXES</w:t>
      </w:r>
    </w:p>
    <w:p>
      <w:pPr>
        <w:pStyle w:val="Paragraphedeliste"/>
        <w:numPr>
          <w:ilvl w:val="0"/>
          <w:numId w:val="9"/>
        </w:numPr>
        <w:jc w:val="both"/>
        <w:rPr>
          <w:sz w:val="22"/>
          <w:szCs w:val="22"/>
        </w:rPr>
      </w:pPr>
      <w:r>
        <w:rPr>
          <w:sz w:val="22"/>
          <w:szCs w:val="22"/>
        </w:rPr>
        <w:t xml:space="preserve">IOP standard </w:t>
      </w:r>
      <w:proofErr w:type="spellStart"/>
      <w:r>
        <w:rPr>
          <w:sz w:val="22"/>
          <w:szCs w:val="22"/>
        </w:rPr>
        <w:t>terms</w:t>
      </w:r>
      <w:proofErr w:type="spellEnd"/>
      <w:r>
        <w:rPr>
          <w:sz w:val="22"/>
          <w:szCs w:val="22"/>
        </w:rPr>
        <w:t xml:space="preserve"> and conditions / Conditions générales standard d’IOP</w:t>
      </w:r>
    </w:p>
    <w:p>
      <w:pPr>
        <w:pStyle w:val="Paragraphedeliste"/>
        <w:numPr>
          <w:ilvl w:val="0"/>
          <w:numId w:val="9"/>
        </w:numPr>
        <w:jc w:val="both"/>
        <w:rPr>
          <w:sz w:val="22"/>
          <w:szCs w:val="22"/>
        </w:rPr>
      </w:pPr>
      <w:r>
        <w:rPr>
          <w:sz w:val="22"/>
          <w:szCs w:val="22"/>
        </w:rPr>
        <w:t xml:space="preserve">The </w:t>
      </w:r>
      <w:proofErr w:type="spellStart"/>
      <w:r>
        <w:rPr>
          <w:sz w:val="22"/>
          <w:szCs w:val="22"/>
        </w:rPr>
        <w:t>Licensee</w:t>
      </w:r>
      <w:proofErr w:type="spellEnd"/>
      <w:r>
        <w:rPr>
          <w:sz w:val="22"/>
          <w:szCs w:val="22"/>
        </w:rPr>
        <w:t xml:space="preserve"> / Le Titulaire de Licence</w:t>
      </w:r>
    </w:p>
    <w:p>
      <w:pPr>
        <w:pStyle w:val="Paragraphedeliste"/>
        <w:numPr>
          <w:ilvl w:val="0"/>
          <w:numId w:val="9"/>
        </w:numPr>
        <w:jc w:val="both"/>
        <w:rPr>
          <w:sz w:val="22"/>
          <w:szCs w:val="22"/>
        </w:rPr>
      </w:pPr>
      <w:r>
        <w:rPr>
          <w:sz w:val="22"/>
          <w:szCs w:val="22"/>
        </w:rPr>
        <w:t xml:space="preserve">IOP </w:t>
      </w:r>
      <w:proofErr w:type="spellStart"/>
      <w:r>
        <w:rPr>
          <w:sz w:val="22"/>
          <w:szCs w:val="22"/>
        </w:rPr>
        <w:t>Title</w:t>
      </w:r>
      <w:proofErr w:type="spellEnd"/>
      <w:r>
        <w:rPr>
          <w:sz w:val="22"/>
          <w:szCs w:val="22"/>
        </w:rPr>
        <w:t xml:space="preserve"> List 2022-2024 / Liste des titres IOP 2022-2024</w:t>
      </w:r>
    </w:p>
    <w:p>
      <w:pPr>
        <w:pStyle w:val="Paragraphedeliste"/>
        <w:numPr>
          <w:ilvl w:val="0"/>
          <w:numId w:val="9"/>
        </w:numPr>
        <w:jc w:val="both"/>
        <w:rPr>
          <w:sz w:val="22"/>
          <w:szCs w:val="22"/>
        </w:rPr>
      </w:pPr>
      <w:proofErr w:type="spellStart"/>
      <w:r>
        <w:rPr>
          <w:sz w:val="22"/>
          <w:szCs w:val="22"/>
        </w:rPr>
        <w:t>Publishing</w:t>
      </w:r>
      <w:proofErr w:type="spellEnd"/>
      <w:r>
        <w:rPr>
          <w:sz w:val="22"/>
          <w:szCs w:val="22"/>
        </w:rPr>
        <w:t xml:space="preserve"> Schedule / Annexe de publication</w:t>
      </w:r>
    </w:p>
    <w:p>
      <w:pPr>
        <w:pStyle w:val="Paragraphedeliste"/>
        <w:numPr>
          <w:ilvl w:val="0"/>
          <w:numId w:val="9"/>
        </w:numPr>
        <w:jc w:val="both"/>
        <w:rPr>
          <w:sz w:val="22"/>
          <w:szCs w:val="22"/>
        </w:rPr>
      </w:pPr>
      <w:proofErr w:type="spellStart"/>
      <w:r>
        <w:rPr>
          <w:sz w:val="22"/>
          <w:szCs w:val="22"/>
        </w:rPr>
        <w:t>Included</w:t>
      </w:r>
      <w:proofErr w:type="spellEnd"/>
      <w:r>
        <w:rPr>
          <w:sz w:val="22"/>
          <w:szCs w:val="22"/>
        </w:rPr>
        <w:t xml:space="preserve"> </w:t>
      </w:r>
      <w:proofErr w:type="spellStart"/>
      <w:r>
        <w:rPr>
          <w:sz w:val="22"/>
          <w:szCs w:val="22"/>
        </w:rPr>
        <w:t>Journals</w:t>
      </w:r>
      <w:proofErr w:type="spellEnd"/>
      <w:r>
        <w:rPr>
          <w:sz w:val="22"/>
          <w:szCs w:val="22"/>
        </w:rPr>
        <w:t xml:space="preserve"> / Revues Incluses</w:t>
      </w:r>
    </w:p>
    <w:p>
      <w:pPr>
        <w:pStyle w:val="Paragraphedeliste"/>
        <w:jc w:val="both"/>
        <w:rPr>
          <w:sz w:val="22"/>
          <w:szCs w:val="22"/>
        </w:rPr>
      </w:pPr>
    </w:p>
    <w:p>
      <w:pPr>
        <w:rPr>
          <w:b/>
          <w:bCs/>
          <w:sz w:val="22"/>
          <w:szCs w:val="22"/>
          <w:lang w:val="en-GB"/>
        </w:rPr>
      </w:pPr>
      <w:r>
        <w:rPr>
          <w:b/>
          <w:bCs/>
          <w:sz w:val="22"/>
          <w:szCs w:val="22"/>
          <w:lang w:val="en-GB"/>
        </w:rPr>
        <w:t>SCHEDULE 1: IOP STANDARD TERMS AND CONDITIONS</w:t>
      </w:r>
    </w:p>
    <w:p>
      <w:pPr>
        <w:ind w:left="425" w:right="-198" w:hanging="425"/>
        <w:rPr>
          <w:b/>
          <w:bCs/>
          <w:sz w:val="22"/>
          <w:szCs w:val="22"/>
          <w:lang w:val="en-GB"/>
        </w:rPr>
      </w:pPr>
      <w:r>
        <w:rPr>
          <w:b/>
          <w:bCs/>
          <w:sz w:val="22"/>
          <w:szCs w:val="22"/>
          <w:lang w:val="en-GB"/>
        </w:rPr>
        <w:t>ANNEXE 1</w:t>
      </w:r>
      <w:r>
        <w:rPr>
          <w:sz w:val="22"/>
          <w:szCs w:val="22"/>
          <w:lang w:val="en-GB"/>
        </w:rPr>
        <w:t xml:space="preserve">: </w:t>
      </w:r>
      <w:r>
        <w:rPr>
          <w:b/>
          <w:bCs/>
          <w:sz w:val="22"/>
          <w:szCs w:val="22"/>
          <w:lang w:val="en-GB"/>
        </w:rPr>
        <w:t xml:space="preserve"> CONDITIONS GENERALES STANDARD D’IOP</w:t>
      </w:r>
    </w:p>
    <w:p>
      <w:pPr>
        <w:tabs>
          <w:tab w:val="num" w:pos="720"/>
        </w:tabs>
        <w:ind w:left="720" w:hanging="720"/>
        <w:rPr>
          <w:sz w:val="22"/>
          <w:szCs w:val="22"/>
          <w:lang w:val="en-GB"/>
        </w:rPr>
      </w:pPr>
    </w:p>
    <w:p>
      <w:pPr>
        <w:rPr>
          <w:b/>
          <w:sz w:val="22"/>
          <w:szCs w:val="22"/>
          <w:lang w:val="en-GB"/>
        </w:rPr>
      </w:pPr>
      <w:r>
        <w:rPr>
          <w:b/>
          <w:sz w:val="22"/>
          <w:szCs w:val="22"/>
          <w:lang w:val="en-GB"/>
        </w:rPr>
        <w:t>Authorised Users</w:t>
      </w:r>
    </w:p>
    <w:p>
      <w:pPr>
        <w:rPr>
          <w:b/>
          <w:sz w:val="22"/>
          <w:szCs w:val="22"/>
        </w:rPr>
      </w:pPr>
      <w:r>
        <w:rPr>
          <w:b/>
          <w:sz w:val="22"/>
          <w:szCs w:val="22"/>
        </w:rPr>
        <w:t>Utilisateurs autorisés</w:t>
      </w:r>
    </w:p>
    <w:p>
      <w:pPr>
        <w:rPr>
          <w:color w:val="FF0000"/>
          <w:sz w:val="22"/>
          <w:szCs w:val="22"/>
        </w:rPr>
      </w:pPr>
    </w:p>
    <w:p>
      <w:pPr>
        <w:numPr>
          <w:ilvl w:val="0"/>
          <w:numId w:val="6"/>
        </w:numPr>
        <w:jc w:val="both"/>
        <w:rPr>
          <w:sz w:val="22"/>
          <w:szCs w:val="22"/>
          <w:lang w:val="en-GB"/>
        </w:rPr>
      </w:pPr>
      <w:r>
        <w:rPr>
          <w:sz w:val="22"/>
          <w:szCs w:val="22"/>
          <w:lang w:val="en-GB"/>
        </w:rPr>
        <w:t xml:space="preserve">In these terms and conditions, the term “Authorised Users” shall mean the Licensee’s employees, faculty (permanent, temporary and visiting), students officially affiliated with the Licensee, persons with legal access to the library’s facilities on site using one of the IP addresses and/or the User Details, and contract staff (permanent or temporary).  Authorised Users include persons affiliated with remote sites or campuses of the Member in the same country as the Licensee and/or persons affiliated with the Licensee who are studying overseas at sites or campuses of a </w:t>
      </w:r>
      <w:proofErr w:type="gramStart"/>
      <w:r>
        <w:rPr>
          <w:sz w:val="22"/>
          <w:szCs w:val="22"/>
          <w:lang w:val="en-GB"/>
        </w:rPr>
        <w:t>third party</w:t>
      </w:r>
      <w:proofErr w:type="gramEnd"/>
      <w:r>
        <w:rPr>
          <w:sz w:val="22"/>
          <w:szCs w:val="22"/>
          <w:lang w:val="en-GB"/>
        </w:rPr>
        <w:t xml:space="preserve"> institution on a temporary basis.</w:t>
      </w:r>
    </w:p>
    <w:p>
      <w:pPr>
        <w:ind w:left="360"/>
        <w:jc w:val="both"/>
        <w:rPr>
          <w:sz w:val="22"/>
          <w:szCs w:val="22"/>
          <w:lang w:val="en-GB"/>
        </w:rPr>
      </w:pPr>
    </w:p>
    <w:p>
      <w:pPr>
        <w:ind w:left="720"/>
        <w:jc w:val="both"/>
        <w:rPr>
          <w:sz w:val="22"/>
          <w:szCs w:val="22"/>
        </w:rPr>
      </w:pPr>
      <w:r>
        <w:rPr>
          <w:sz w:val="22"/>
          <w:szCs w:val="22"/>
        </w:rPr>
        <w:t xml:space="preserve">Dans les présentes conditions générales, le terme « Utilisateurs autorisés » désignera, pour chaque </w:t>
      </w:r>
      <w:bookmarkStart w:id="2" w:name="_Hlk99458443"/>
      <w:r>
        <w:rPr>
          <w:sz w:val="22"/>
          <w:szCs w:val="22"/>
        </w:rPr>
        <w:t>Titulaire de Licence</w:t>
      </w:r>
      <w:bookmarkEnd w:id="2"/>
      <w:r>
        <w:rPr>
          <w:sz w:val="22"/>
          <w:szCs w:val="22"/>
        </w:rPr>
        <w:t>, son personnel (permanent, temporaire ou invité), les étudiants officiellement inscrits dans cet Établissement, les personnes autorisées à accéder à la bibliothèque par le biais d’une des adresses IP et/ou les informations de l’utilisateur, et les membres du personnel sous contrat (permanent ou temporaire). Les Utilisateurs autorisés comprennent les personnes inscrites sur des sites ou campus à distance du Titulaire de Licence dans le même pays que ce dernier, et/ou les personnes inscrites chez le Titulaire de Licence et étudiant temporairement à l’étranger sur des sites ou campus d’un autre établissement.</w:t>
      </w:r>
    </w:p>
    <w:p>
      <w:pPr>
        <w:rPr>
          <w:color w:val="FF0000"/>
          <w:sz w:val="22"/>
          <w:szCs w:val="22"/>
        </w:rPr>
      </w:pPr>
    </w:p>
    <w:p>
      <w:pPr>
        <w:rPr>
          <w:b/>
          <w:sz w:val="22"/>
          <w:szCs w:val="22"/>
          <w:lang w:val="en-GB"/>
        </w:rPr>
      </w:pPr>
      <w:r>
        <w:rPr>
          <w:b/>
          <w:sz w:val="22"/>
          <w:szCs w:val="22"/>
          <w:lang w:val="en-GB"/>
        </w:rPr>
        <w:t>Access to the Service</w:t>
      </w:r>
    </w:p>
    <w:p>
      <w:pPr>
        <w:rPr>
          <w:b/>
          <w:sz w:val="22"/>
          <w:szCs w:val="22"/>
          <w:lang w:val="en-GB"/>
        </w:rPr>
      </w:pPr>
      <w:proofErr w:type="spellStart"/>
      <w:r>
        <w:rPr>
          <w:b/>
          <w:sz w:val="22"/>
          <w:szCs w:val="22"/>
          <w:lang w:val="en-GB"/>
        </w:rPr>
        <w:t>Accès</w:t>
      </w:r>
      <w:proofErr w:type="spellEnd"/>
      <w:r>
        <w:rPr>
          <w:b/>
          <w:sz w:val="22"/>
          <w:szCs w:val="22"/>
          <w:lang w:val="en-GB"/>
        </w:rPr>
        <w:t xml:space="preserve"> au service</w:t>
      </w:r>
    </w:p>
    <w:p>
      <w:pPr>
        <w:spacing w:before="100" w:beforeAutospacing="1" w:after="100" w:afterAutospacing="1"/>
        <w:ind w:left="720" w:right="-199" w:hanging="294"/>
        <w:jc w:val="both"/>
        <w:rPr>
          <w:sz w:val="22"/>
          <w:szCs w:val="22"/>
          <w:lang w:val="en-GB"/>
        </w:rPr>
      </w:pPr>
      <w:r>
        <w:rPr>
          <w:sz w:val="22"/>
          <w:szCs w:val="22"/>
          <w:lang w:val="en-GB"/>
        </w:rPr>
        <w:t>2</w:t>
      </w:r>
      <w:r>
        <w:rPr>
          <w:sz w:val="22"/>
          <w:szCs w:val="22"/>
          <w:lang w:val="en-GB"/>
        </w:rPr>
        <w:tab/>
        <w:t>Where the Licensee wish to allow Authorised Users to access the Service from terminals or work stations at locations other than the site addresses supplied to IOP, this may be done via public access, caching and proxy servers, or some other recognised authentication system such as Shibboleth, provided that Authorised Users access the Service through the IP addresses and provided further that the Licensee has adequate security measures in place to ensure that only Authorised Users access the Service via the applicable method.  Where the Licensee allows walk in users to have access to the Service using one of its IP addresses, the Licensee shall take all necessary steps to ensure that those persons are not able to save any content onto any form of portable media or computing device including, but not limited to, USB sticks, external hard drives, flash cards or smartphones.</w:t>
      </w:r>
    </w:p>
    <w:p>
      <w:pPr>
        <w:spacing w:before="100" w:beforeAutospacing="1" w:after="100" w:afterAutospacing="1"/>
        <w:ind w:left="720" w:right="-199"/>
        <w:jc w:val="both"/>
        <w:rPr>
          <w:sz w:val="22"/>
          <w:szCs w:val="22"/>
        </w:rPr>
      </w:pPr>
      <w:r>
        <w:rPr>
          <w:sz w:val="22"/>
          <w:szCs w:val="22"/>
        </w:rPr>
        <w:t xml:space="preserve">Si le Titulaire de Licence souhaite offrir aux Utilisateurs autorisés un accès au Service à partir d’ordinateurs ou de postes de travail installés à des adresses différentes de celles fournies à IOP, cet accès devra être public ou offert via un serveur cache et proxy, ou tout autre système d’identification homologué, tel que le protocole Shibboleth à condition que les Utilisateurs autorisés accèdent au Service à l’aide des adresses IP et que le Titulaire de Licence ait mis en place toutes les mesures de sécurité nécessaires pour garantir que seuls les Utilisateurs autorisés puissent accéder au Service de cette façon. Lorsque le Titulaire de Licence autorise des utilisateurs occasionnels à accéder au Service à l’aide d’une de ses adresses IP, ces derniers devront prendre toutes les mesures nécessaires pour que ces personnes ne puissent enregistrer aucun contenu sur </w:t>
      </w:r>
      <w:r>
        <w:rPr>
          <w:sz w:val="22"/>
          <w:szCs w:val="22"/>
        </w:rPr>
        <w:lastRenderedPageBreak/>
        <w:t>aucun support portable ou dispositif informatique, y compris, sans s’y limiter, des clés USB, des disques durs externes, des cartes mémoires flash ou des Smartphones.</w:t>
      </w:r>
    </w:p>
    <w:p>
      <w:pPr>
        <w:spacing w:before="100" w:beforeAutospacing="1" w:after="100" w:afterAutospacing="1"/>
        <w:ind w:left="720" w:right="-199" w:hanging="294"/>
        <w:jc w:val="both"/>
        <w:rPr>
          <w:sz w:val="22"/>
          <w:szCs w:val="22"/>
          <w:lang w:val="en-GB"/>
        </w:rPr>
      </w:pPr>
      <w:r>
        <w:rPr>
          <w:sz w:val="22"/>
          <w:szCs w:val="22"/>
          <w:lang w:val="en-GB"/>
        </w:rPr>
        <w:t>3</w:t>
      </w:r>
      <w:r>
        <w:rPr>
          <w:sz w:val="22"/>
          <w:szCs w:val="22"/>
          <w:lang w:val="en-GB"/>
        </w:rPr>
        <w:tab/>
        <w:t>Access extends only to Authorised Users individually and may not be transferred or extended to others.  The Licensee shall take all reasonable measures to ensure that only Authorised Users can use the Service and shall ensure that Authorised Users are made aware of and understand the restrictions and prohibitions on use set out in these terms and conditions and that they abide by them.  The Licensee shall also exercise vigilance and be responsible for all display and access controls, including security measures, necessary to ensure that the Service is only accessible by Authorised Users.  The Licensee shall make every effort to enforce these terms and conditions on receiving information that reasonably indicates that they are being violated.</w:t>
      </w:r>
    </w:p>
    <w:p>
      <w:pPr>
        <w:spacing w:before="28" w:after="28"/>
        <w:ind w:left="720" w:right="-199"/>
        <w:jc w:val="both"/>
        <w:rPr>
          <w:sz w:val="22"/>
          <w:szCs w:val="22"/>
        </w:rPr>
      </w:pPr>
      <w:r>
        <w:rPr>
          <w:sz w:val="22"/>
          <w:szCs w:val="22"/>
        </w:rPr>
        <w:t>L’accès est fourni aux Utilisateurs autorisés à titre individuel, et ne peut pas être transféré ni offert à d’autres personnes. Le Titulaire de Licence devra prendre toutes les mesures raisonnables pour garantir que seuls les Utilisateurs autorisés peuvent utiliser le Service et devront s’assurer que les Utilisateurs autorisés ont lu et compris les restrictions et interdictions d’utilisation détaillées dans les présentes conditions générales et qu’ils les respectent. Le Titulaire de Licence fera preuve de vigilance et devront mettre en place des contrôles d’accès, notamment les mesures de sécurité nécessaires pour garantir l’accès au Service par les seuls Utilisateurs autorisés. À réception d’informations indiquant une violation des présentes conditions générales, le Titulaire de Licence s’efforcera de faire respecter les présentes conditions générales.</w:t>
      </w:r>
    </w:p>
    <w:p>
      <w:pPr>
        <w:spacing w:before="100" w:beforeAutospacing="1" w:after="100" w:afterAutospacing="1"/>
        <w:ind w:left="720" w:right="-199" w:hanging="294"/>
        <w:jc w:val="both"/>
        <w:rPr>
          <w:sz w:val="22"/>
          <w:szCs w:val="22"/>
          <w:lang w:val="en-GB"/>
        </w:rPr>
      </w:pPr>
      <w:r>
        <w:rPr>
          <w:sz w:val="22"/>
          <w:szCs w:val="22"/>
          <w:lang w:val="en-GB"/>
        </w:rPr>
        <w:t>4</w:t>
      </w:r>
      <w:r>
        <w:rPr>
          <w:sz w:val="22"/>
          <w:szCs w:val="22"/>
          <w:lang w:val="en-GB"/>
        </w:rPr>
        <w:tab/>
        <w:t>Authorised Users may access, download, store, search and print hard copy of text.  Copying must be limited to making a single printed copy or electronic copies of a reasonable number of individual articles, chapters or other similar items.</w:t>
      </w:r>
    </w:p>
    <w:p>
      <w:pPr>
        <w:spacing w:before="28" w:after="28"/>
        <w:ind w:left="720" w:right="-199"/>
        <w:jc w:val="both"/>
        <w:rPr>
          <w:sz w:val="22"/>
          <w:szCs w:val="22"/>
        </w:rPr>
      </w:pPr>
      <w:r>
        <w:rPr>
          <w:sz w:val="22"/>
          <w:szCs w:val="22"/>
        </w:rPr>
        <w:t>Les Utilisateurs autorisés pourront accéder, télécharger, stocker, rechercher et imprimer les documents. La reproduction sera limitée à un seul exemplaire imprimé ou électronique d’un nombre raisonnable d’articles, de chapitres ou autres.</w:t>
      </w:r>
    </w:p>
    <w:p>
      <w:pPr>
        <w:spacing w:before="100" w:beforeAutospacing="1" w:after="100" w:afterAutospacing="1"/>
        <w:ind w:left="720" w:right="-199" w:hanging="294"/>
        <w:jc w:val="both"/>
        <w:rPr>
          <w:sz w:val="22"/>
          <w:szCs w:val="22"/>
          <w:lang w:val="en-GB"/>
        </w:rPr>
      </w:pPr>
      <w:r>
        <w:rPr>
          <w:sz w:val="22"/>
          <w:szCs w:val="22"/>
          <w:lang w:val="en-GB"/>
        </w:rPr>
        <w:t>5</w:t>
      </w:r>
      <w:r>
        <w:rPr>
          <w:sz w:val="22"/>
          <w:szCs w:val="22"/>
          <w:lang w:val="en-GB"/>
        </w:rPr>
        <w:tab/>
        <w:t>No text accessed via the Service may be made available to non-Authorised Users, either for commercial reward or free of charge, except that for inter-library loan purposes a single paper copy of an electronic original may be made and sent non-digitally to a library in the same country as the Licensee under fair dealing/use exemptions.  In addition, for inter-library loan purposes the Licensee may make a single paper copy of an electronic original available to a library in the same country by secure transmission using Arial (or its equivalent) whereby that electronic file is deleted immediately after printing.  Such supply must be for the purpose of research or private study and not for commercial use or onward transmission or distribution. Upon request the Licensee shall provide IOP with a quarterly report on the number of electronic interlibrary loans they have made.  In the event of abuse, IOP may withdraw the right described in this clause but only after first liaising with the Licensee concerned to try and effect an amicable resolution within a reasonable period.</w:t>
      </w:r>
    </w:p>
    <w:p>
      <w:pPr>
        <w:spacing w:before="28" w:after="28"/>
        <w:ind w:left="720" w:right="-199"/>
        <w:jc w:val="both"/>
        <w:rPr>
          <w:strike/>
          <w:sz w:val="22"/>
          <w:szCs w:val="22"/>
        </w:rPr>
      </w:pPr>
      <w:r>
        <w:rPr>
          <w:sz w:val="22"/>
          <w:szCs w:val="22"/>
        </w:rPr>
        <w:t xml:space="preserve">Les documents mis à disposition dans le cadre du Service ne pourront en aucun cas être transmis à des Utilisateurs non autorisés, que ce soit contre rémunération ou à titre gratuit, à l’exception des prêts entre bibliothèques, pour lesquels un seul exemplaire pourra être imprimé à partir d’une version électronique originale et envoyé par voie non électronique à une bibliothèque située dans le même pays que le Titulaire de Licence au titre de l’utilisation équitable/dérogations d’utilisation.  En outre, au titre des prêts entre bibliothèques, le Titulaire de Licence pourra transmettre à une bibliothèque située dans le même pays un seul exemplaire imprimé d’un original en version électronique par transmission sécurisée via Ariel ou équivalent, qui supprimera le fichier électronique immédiatement après impression. Ces prêts sont autorisés dans le cadre de recherches ou d’études individuelles et ne doivent pas faire l’objet d’une utilisation commerciale ou d’une transmission ou distribution. Sur demande, le Titulaire de Licence fournira à IOP un </w:t>
      </w:r>
      <w:r>
        <w:rPr>
          <w:sz w:val="22"/>
          <w:szCs w:val="22"/>
        </w:rPr>
        <w:lastRenderedPageBreak/>
        <w:t>rapport trimestriel indiquant le nombre de prêts entre bibliothèques. En cas d’abus, IOP pourra retirer le droit décrit dans la présente clause, mais uniquement après avoir consulté l’Établissement concerné pour essayer de parvenir à une résolution à l’amiable dans un délai raisonnable.</w:t>
      </w:r>
    </w:p>
    <w:p>
      <w:pPr>
        <w:spacing w:before="100" w:beforeAutospacing="1" w:after="100" w:afterAutospacing="1"/>
        <w:ind w:left="720" w:right="-199" w:hanging="294"/>
        <w:jc w:val="both"/>
        <w:rPr>
          <w:sz w:val="22"/>
          <w:szCs w:val="22"/>
          <w:lang w:val="en-GB"/>
        </w:rPr>
      </w:pPr>
      <w:r>
        <w:rPr>
          <w:sz w:val="22"/>
          <w:szCs w:val="22"/>
          <w:lang w:val="en-GB"/>
        </w:rPr>
        <w:t>6</w:t>
      </w:r>
      <w:r>
        <w:rPr>
          <w:sz w:val="22"/>
          <w:szCs w:val="22"/>
          <w:lang w:val="en-GB"/>
        </w:rPr>
        <w:tab/>
        <w:t>Access is granted to Authorised Users solely for private study or research for a non-commercial purpose by Authorised Users. Such Authorised Users may use the Service for educational resources, such as "course packs", made available solely to Authorised Users, provided that electronic copies included in such educational resources are removed or deleted at the end of the semester or term in which the relevant course ends. Such Authorised Users may also make brief quotations from the content of the Journals, with the customary acknowledgement of the source, and copy and transmit content from individual online articles in "person-to-person" and non-systematic scholarly exchanges of information.</w:t>
      </w:r>
    </w:p>
    <w:p>
      <w:pPr>
        <w:spacing w:before="28" w:after="28"/>
        <w:ind w:left="720" w:right="-199" w:hanging="294"/>
        <w:jc w:val="both"/>
        <w:rPr>
          <w:sz w:val="22"/>
          <w:szCs w:val="22"/>
        </w:rPr>
      </w:pPr>
      <w:r>
        <w:rPr>
          <w:sz w:val="22"/>
          <w:szCs w:val="22"/>
          <w:lang w:val="en-GB"/>
        </w:rPr>
        <w:tab/>
      </w:r>
      <w:r>
        <w:rPr>
          <w:sz w:val="22"/>
          <w:szCs w:val="22"/>
        </w:rPr>
        <w:t>L’accès est uniquement accordé aux Utilisateurs autorisés dans le cadre d’études ou de recherches individuelles et à des fins non commerciales.  Les Utilisateurs autorisés peuvent utiliser le Service à des fins d’information pédagogique, au titre de « matériel pédagogique », distribué uniquement à des Utilisateurs autorisés, à condition que les copies électroniques incluses dans ce matériel pédagogique soient restituées ou supprimées à la fin du semestre ou trimestre du cours en question. Les Utilisateurs autorisés peuvent également faire de brèves citations du contenu des publications, en en indiquant la source, et reproduire et diffuser le contenu d’articles en ligne à certaines personnes et à des fins d’échange d’informations non systématique entre universitaires.</w:t>
      </w:r>
    </w:p>
    <w:p>
      <w:pPr>
        <w:spacing w:before="100" w:beforeAutospacing="1" w:after="100" w:afterAutospacing="1"/>
        <w:ind w:left="720" w:right="-199" w:hanging="294"/>
        <w:jc w:val="both"/>
        <w:rPr>
          <w:sz w:val="22"/>
          <w:szCs w:val="22"/>
          <w:lang w:val="en-GB"/>
        </w:rPr>
      </w:pPr>
      <w:r>
        <w:rPr>
          <w:sz w:val="22"/>
          <w:szCs w:val="22"/>
          <w:lang w:val="en-GB"/>
        </w:rPr>
        <w:t>7</w:t>
      </w:r>
      <w:r>
        <w:rPr>
          <w:sz w:val="22"/>
          <w:szCs w:val="22"/>
          <w:lang w:val="en-GB"/>
        </w:rPr>
        <w:tab/>
        <w:t>The Licensee and Authorised Users may only use this online access in a way that does not breach the laws of the country in which they are accessing the Service.</w:t>
      </w:r>
    </w:p>
    <w:p>
      <w:pPr>
        <w:spacing w:before="28" w:after="28"/>
        <w:ind w:left="720" w:right="-199" w:hanging="720"/>
        <w:jc w:val="both"/>
        <w:rPr>
          <w:sz w:val="22"/>
          <w:szCs w:val="22"/>
        </w:rPr>
      </w:pPr>
      <w:r>
        <w:rPr>
          <w:sz w:val="22"/>
          <w:szCs w:val="22"/>
          <w:lang w:val="en-GB"/>
        </w:rPr>
        <w:tab/>
      </w:r>
      <w:r>
        <w:rPr>
          <w:sz w:val="22"/>
          <w:szCs w:val="22"/>
        </w:rPr>
        <w:t>Le Titulaire de Licence et les Utilisateurs autorisés peuvent uniquement bénéficier de cet accès en ligne dans la mesure où il n’enfreint pas les lois du pays où ils se trouvent.</w:t>
      </w:r>
    </w:p>
    <w:p>
      <w:pPr>
        <w:spacing w:before="100" w:beforeAutospacing="1" w:after="100" w:afterAutospacing="1"/>
        <w:ind w:left="720" w:right="-199" w:hanging="294"/>
        <w:jc w:val="both"/>
        <w:outlineLvl w:val="2"/>
        <w:rPr>
          <w:sz w:val="22"/>
          <w:szCs w:val="22"/>
          <w:lang w:val="en-GB"/>
        </w:rPr>
      </w:pPr>
      <w:r>
        <w:rPr>
          <w:sz w:val="22"/>
          <w:szCs w:val="22"/>
          <w:lang w:val="en-GB"/>
        </w:rPr>
        <w:t>8</w:t>
      </w:r>
      <w:r>
        <w:rPr>
          <w:b/>
          <w:bCs/>
          <w:sz w:val="22"/>
          <w:szCs w:val="22"/>
          <w:lang w:val="en-GB"/>
        </w:rPr>
        <w:tab/>
      </w:r>
      <w:r>
        <w:rPr>
          <w:sz w:val="22"/>
          <w:szCs w:val="22"/>
          <w:lang w:val="en-GB"/>
        </w:rPr>
        <w:t>Altering, recompiling, systematic or programmatic copying, reselling, redistributing, supplying, publishing or republishing (beyond the brief quotations permitted above) of any Journal text, output, search results or other information from any part of the Service, including, without limitation, copyright, proprietary or other legal notices, in any form or medium is prohibited.  Downloading an entire issue of a Journal; systematic downloading, service bureau redistribution services; printing for a for-fee-service purpose; document delivery services and/or the systematic making of print or electronic copies for transmission to non-Authorised Users (beyond that permitted above) are prohibited.</w:t>
      </w:r>
    </w:p>
    <w:p>
      <w:pPr>
        <w:spacing w:before="28" w:after="28"/>
        <w:ind w:left="720" w:right="-199" w:hanging="720"/>
        <w:jc w:val="both"/>
        <w:rPr>
          <w:sz w:val="22"/>
          <w:szCs w:val="22"/>
        </w:rPr>
      </w:pPr>
      <w:r>
        <w:rPr>
          <w:sz w:val="22"/>
          <w:szCs w:val="22"/>
          <w:lang w:val="en-GB"/>
        </w:rPr>
        <w:tab/>
      </w:r>
      <w:r>
        <w:rPr>
          <w:sz w:val="22"/>
          <w:szCs w:val="22"/>
        </w:rPr>
        <w:t>La modification, recompilation, reproduction systématique ou programmatique, revente, redistribution, transmission, publication ou republication (à l’exception des brèves citations autorisées ci-dessus) de tout texte contenu dans les publications, étude, résultat de recherche ou autres informations proposés par le Service, y compris, sans s’y limiter, les mentions de droits d’auteur, de droits de propriété ou juridiques, sous quelque forme que ce soit, est interdite.  Le téléchargement de l’intégralité d’un numéro d’une publication, le téléchargement systématique, les services de redistribution à des sociétés de services informatiques, l’impression contre rémunération, les services de diffusion de documents et/ou l’impression ou la reproduction électronique systématique pour diffusion à des Utilisateurs non autorisés (à l’exception des autorisations mentionnées ci-dessus) sont interdits.</w:t>
      </w:r>
    </w:p>
    <w:p>
      <w:pPr>
        <w:rPr>
          <w:sz w:val="22"/>
          <w:szCs w:val="22"/>
        </w:rPr>
      </w:pPr>
    </w:p>
    <w:p>
      <w:pPr>
        <w:jc w:val="both"/>
        <w:rPr>
          <w:b/>
          <w:sz w:val="22"/>
          <w:szCs w:val="22"/>
          <w:lang w:val="en-GB"/>
        </w:rPr>
      </w:pPr>
      <w:r>
        <w:rPr>
          <w:b/>
          <w:sz w:val="22"/>
          <w:szCs w:val="22"/>
          <w:lang w:val="en-GB"/>
        </w:rPr>
        <w:t>Termination</w:t>
      </w:r>
    </w:p>
    <w:p>
      <w:pPr>
        <w:jc w:val="both"/>
        <w:rPr>
          <w:b/>
          <w:sz w:val="22"/>
          <w:szCs w:val="22"/>
          <w:lang w:val="en-GB"/>
        </w:rPr>
      </w:pPr>
      <w:proofErr w:type="spellStart"/>
      <w:r>
        <w:rPr>
          <w:b/>
          <w:sz w:val="22"/>
          <w:szCs w:val="22"/>
          <w:lang w:val="en-GB"/>
        </w:rPr>
        <w:t>Résiliation</w:t>
      </w:r>
      <w:proofErr w:type="spellEnd"/>
    </w:p>
    <w:p>
      <w:pPr>
        <w:pStyle w:val="Normalcentr"/>
        <w:ind w:hanging="294"/>
        <w:jc w:val="both"/>
        <w:rPr>
          <w:sz w:val="22"/>
          <w:szCs w:val="22"/>
          <w:lang w:val="en-GB"/>
        </w:rPr>
      </w:pPr>
      <w:r>
        <w:rPr>
          <w:sz w:val="22"/>
          <w:szCs w:val="22"/>
          <w:lang w:val="en-GB"/>
        </w:rPr>
        <w:t>9</w:t>
      </w:r>
      <w:r>
        <w:rPr>
          <w:sz w:val="22"/>
          <w:szCs w:val="22"/>
          <w:lang w:val="en-GB"/>
        </w:rPr>
        <w:tab/>
        <w:t xml:space="preserve">In the event of the Licensee materially breaching any of these terms and conditions, IOP will write to its contact at the Licensee to notify them and to alert them to the fact that access to the Service will be terminated by IOP if the breach is not remedied. If the breach is not remedied and/or the </w:t>
      </w:r>
      <w:r>
        <w:rPr>
          <w:sz w:val="22"/>
          <w:szCs w:val="22"/>
          <w:lang w:val="en-GB"/>
        </w:rPr>
        <w:lastRenderedPageBreak/>
        <w:t xml:space="preserve">Licensee does not take all steps necessary to deal with the breach within a reasonable period, IOP shall have the right to terminate that access.  </w:t>
      </w:r>
    </w:p>
    <w:p>
      <w:pPr>
        <w:spacing w:before="28" w:after="28"/>
        <w:ind w:left="720" w:right="-199" w:hanging="720"/>
        <w:jc w:val="both"/>
        <w:rPr>
          <w:strike/>
          <w:sz w:val="22"/>
          <w:szCs w:val="22"/>
        </w:rPr>
      </w:pPr>
      <w:r>
        <w:rPr>
          <w:sz w:val="22"/>
          <w:szCs w:val="22"/>
          <w:lang w:val="en-GB"/>
        </w:rPr>
        <w:tab/>
      </w:r>
      <w:r>
        <w:rPr>
          <w:sz w:val="22"/>
          <w:szCs w:val="22"/>
        </w:rPr>
        <w:t xml:space="preserve">Si Titulaire de Licence commet une violation matérielle des présentes Conditions générales, IOP notifiera le contact de ce Titulaire de Licence par écrit pour l’informer que l’accès au Service sera résilié par IOP s’il n’est pas remédié à la violation.  Si Titulaire de Licence ne remédie pas à cette violation et/ou ne prend pas toutes les mesures nécessaires pour résoudre le problème dans un délai raisonnable, IOP se réserve le droit de mettre fin à cet accès.  </w:t>
      </w:r>
    </w:p>
    <w:p>
      <w:pPr>
        <w:spacing w:before="28" w:after="28"/>
        <w:ind w:left="720" w:right="-199" w:hanging="12"/>
        <w:jc w:val="both"/>
        <w:rPr>
          <w:sz w:val="22"/>
          <w:szCs w:val="22"/>
        </w:rPr>
      </w:pPr>
    </w:p>
    <w:p>
      <w:pPr>
        <w:pStyle w:val="Titre2"/>
        <w:numPr>
          <w:ilvl w:val="0"/>
          <w:numId w:val="0"/>
        </w:numPr>
        <w:spacing w:line="240" w:lineRule="auto"/>
        <w:ind w:left="706" w:right="-142" w:hanging="706"/>
        <w:rPr>
          <w:b/>
          <w:sz w:val="22"/>
          <w:szCs w:val="22"/>
        </w:rPr>
      </w:pPr>
      <w:r>
        <w:rPr>
          <w:sz w:val="22"/>
          <w:szCs w:val="22"/>
          <w:lang w:val="fr-FR"/>
        </w:rPr>
        <w:t xml:space="preserve">        </w:t>
      </w:r>
      <w:r>
        <w:rPr>
          <w:sz w:val="22"/>
          <w:szCs w:val="22"/>
        </w:rPr>
        <w:t xml:space="preserve">10 The parties agree that on or before 30 October of each year, the Licensee may notify IOP and the Licensee in writing that they wish to withdraw from this Licence in the following calendar year, commencing on 1 January. </w:t>
      </w:r>
    </w:p>
    <w:p>
      <w:pPr>
        <w:spacing w:before="28" w:after="28"/>
        <w:ind w:left="720" w:right="-199" w:hanging="11"/>
        <w:jc w:val="both"/>
        <w:rPr>
          <w:sz w:val="22"/>
          <w:szCs w:val="22"/>
        </w:rPr>
      </w:pPr>
      <w:r>
        <w:rPr>
          <w:sz w:val="22"/>
          <w:szCs w:val="22"/>
        </w:rPr>
        <w:t>Les parties acceptent que le 30 octobre de chaque année au plus tard, le Titulaire de la Licence puisse notifier par écrit à IOP et au titulaire de la licence s’il souhaite se retirer de la présente licence pour l’année civile suivante, à compter du 1</w:t>
      </w:r>
      <w:r>
        <w:rPr>
          <w:sz w:val="22"/>
          <w:szCs w:val="22"/>
          <w:vertAlign w:val="superscript"/>
        </w:rPr>
        <w:t>er</w:t>
      </w:r>
      <w:r>
        <w:rPr>
          <w:sz w:val="22"/>
          <w:szCs w:val="22"/>
        </w:rPr>
        <w:t xml:space="preserve"> janvier. </w:t>
      </w:r>
    </w:p>
    <w:p>
      <w:pPr>
        <w:spacing w:before="28" w:after="28"/>
        <w:ind w:right="-199"/>
        <w:jc w:val="both"/>
        <w:rPr>
          <w:sz w:val="22"/>
          <w:szCs w:val="22"/>
        </w:rPr>
      </w:pPr>
    </w:p>
    <w:p>
      <w:pPr>
        <w:jc w:val="both"/>
        <w:rPr>
          <w:b/>
          <w:sz w:val="22"/>
          <w:szCs w:val="22"/>
        </w:rPr>
      </w:pPr>
      <w:proofErr w:type="spellStart"/>
      <w:r>
        <w:rPr>
          <w:b/>
          <w:sz w:val="22"/>
          <w:szCs w:val="22"/>
        </w:rPr>
        <w:t>Continued</w:t>
      </w:r>
      <w:proofErr w:type="spellEnd"/>
      <w:r>
        <w:rPr>
          <w:b/>
          <w:sz w:val="22"/>
          <w:szCs w:val="22"/>
        </w:rPr>
        <w:t xml:space="preserve"> Access to Content</w:t>
      </w:r>
    </w:p>
    <w:p>
      <w:pPr>
        <w:jc w:val="both"/>
        <w:rPr>
          <w:b/>
          <w:sz w:val="22"/>
          <w:szCs w:val="22"/>
        </w:rPr>
      </w:pPr>
      <w:r>
        <w:rPr>
          <w:b/>
          <w:sz w:val="22"/>
          <w:szCs w:val="22"/>
        </w:rPr>
        <w:t>Prolongation de l’accès au contenu</w:t>
      </w:r>
    </w:p>
    <w:p>
      <w:pPr>
        <w:spacing w:before="100" w:beforeAutospacing="1" w:after="100" w:afterAutospacing="1"/>
        <w:ind w:left="720" w:right="-199" w:hanging="294"/>
        <w:jc w:val="both"/>
        <w:rPr>
          <w:sz w:val="22"/>
          <w:szCs w:val="22"/>
          <w:lang w:val="en-GB"/>
        </w:rPr>
      </w:pPr>
      <w:r>
        <w:rPr>
          <w:sz w:val="22"/>
          <w:szCs w:val="22"/>
          <w:lang w:val="en-GB"/>
        </w:rPr>
        <w:t>11</w:t>
      </w:r>
      <w:r>
        <w:rPr>
          <w:sz w:val="22"/>
          <w:szCs w:val="22"/>
          <w:lang w:val="en-GB"/>
        </w:rPr>
        <w:tab/>
        <w:t>Upon termination of access to the Service, the Licensee will only be entitled to have continued access to the issues of the Journals published during full calendar years in which the Licensee had access to the Service (the “Available Content”). Subject to the provisions of Article 12 concerning the right of permanent access to IOP content via the national platform PANIST, all other access shall terminate including, but not limited to, access to any publications included within the Service from time to time which are not listed as one of the Journals.  The Available Content will be made available via a website on payment of an annual maintenance fee and for so long as IOP provides electronic access to that content via an IOP web site. If access via an IOP web site is no longer available at any time, the Available Content will be made available on disk or some other form of electronic media.  If, at any time, IOP ceases to publish or distribute any of the Available Content then it will use its reasonable endeavours to negotiate the right for the Licensee to continue to access it in accordance with these terms and conditions.</w:t>
      </w:r>
    </w:p>
    <w:p>
      <w:pPr>
        <w:spacing w:before="28" w:after="240"/>
        <w:ind w:left="720" w:right="-198" w:hanging="720"/>
        <w:jc w:val="both"/>
        <w:rPr>
          <w:color w:val="000000"/>
          <w:sz w:val="22"/>
          <w:szCs w:val="22"/>
        </w:rPr>
      </w:pPr>
      <w:r>
        <w:rPr>
          <w:color w:val="000000"/>
          <w:sz w:val="22"/>
          <w:szCs w:val="22"/>
          <w:lang w:val="en-GB"/>
        </w:rPr>
        <w:tab/>
      </w:r>
      <w:r>
        <w:rPr>
          <w:color w:val="000000"/>
          <w:sz w:val="22"/>
          <w:szCs w:val="22"/>
        </w:rPr>
        <w:t>En cas de résiliation de l’accès au Service, le Titulaire de Licence aura uniquement accès aux numéros des publications publiées pour les années civiles correspondant à leur accès au service (« Contenu disponible </w:t>
      </w:r>
      <w:r>
        <w:rPr>
          <w:sz w:val="22"/>
          <w:szCs w:val="22"/>
        </w:rPr>
        <w:t xml:space="preserve">»). Sous réserve des dispositions de l’article 12 concernant le droit d’accès pérenne aux contenus IOP via la plateforme nationale PANIST, tous les autres accès seront résiliés, y compris, sans s’y limiter, l’accès aux publications incluses </w:t>
      </w:r>
      <w:r>
        <w:rPr>
          <w:color w:val="000000"/>
          <w:sz w:val="22"/>
          <w:szCs w:val="22"/>
        </w:rPr>
        <w:t xml:space="preserve">dans l’offre de Service et non répertoriées dans la liste des publications. Le Contenu disponible sera accessible via un site web, contre paiement de frais de maintenance annuels et tant qu’IOP offrira un accès électronique à ce contenu via l’un de ses sites web. Si l’accès à un site web d’IOP est à tout moment indisponible, le Contenu disponible sera mis à disposition sur CD ou autre media électronique.  Si IOP cesse de publier ou de distribuer un Contenu disponible, il s’efforcera de négocier un accès à ce contenu pour le </w:t>
      </w:r>
      <w:bookmarkStart w:id="3" w:name="_Hlk99700420"/>
      <w:r>
        <w:rPr>
          <w:color w:val="000000"/>
          <w:sz w:val="22"/>
          <w:szCs w:val="22"/>
        </w:rPr>
        <w:t xml:space="preserve">Titulaire de Licence </w:t>
      </w:r>
      <w:bookmarkEnd w:id="3"/>
      <w:r>
        <w:rPr>
          <w:color w:val="000000"/>
          <w:sz w:val="22"/>
          <w:szCs w:val="22"/>
        </w:rPr>
        <w:t>conformément aux présentes conditions générales.</w:t>
      </w:r>
    </w:p>
    <w:p>
      <w:pPr>
        <w:jc w:val="both"/>
        <w:rPr>
          <w:b/>
          <w:sz w:val="22"/>
          <w:szCs w:val="22"/>
        </w:rPr>
      </w:pPr>
      <w:r>
        <w:rPr>
          <w:b/>
          <w:sz w:val="22"/>
          <w:szCs w:val="22"/>
        </w:rPr>
        <w:t>Droit d’accès pérenne via la plateforme nationale PANIST</w:t>
      </w:r>
    </w:p>
    <w:p>
      <w:pPr>
        <w:jc w:val="both"/>
        <w:rPr>
          <w:color w:val="000000"/>
          <w:sz w:val="22"/>
          <w:szCs w:val="22"/>
        </w:rPr>
      </w:pPr>
    </w:p>
    <w:p>
      <w:pPr>
        <w:jc w:val="both"/>
        <w:rPr>
          <w:color w:val="000000"/>
          <w:sz w:val="22"/>
          <w:szCs w:val="22"/>
          <w:lang w:val="en-GB"/>
        </w:rPr>
      </w:pPr>
      <w:r>
        <w:rPr>
          <w:color w:val="000000"/>
          <w:sz w:val="22"/>
          <w:szCs w:val="22"/>
          <w:lang w:val="en-GB"/>
        </w:rPr>
        <w:t>12.1 – A continuing right of access is granted by IOP to the Licensee under certain conditions:</w:t>
      </w:r>
    </w:p>
    <w:p>
      <w:pPr>
        <w:jc w:val="both"/>
        <w:rPr>
          <w:color w:val="000000" w:themeColor="text1"/>
          <w:sz w:val="22"/>
          <w:szCs w:val="22"/>
          <w:lang w:val="en-GB"/>
        </w:rPr>
      </w:pPr>
      <w:r>
        <w:rPr>
          <w:color w:val="000000"/>
          <w:sz w:val="22"/>
          <w:szCs w:val="22"/>
          <w:lang w:val="en-GB"/>
        </w:rPr>
        <w:t xml:space="preserve">- the Licensee must have been a customer of IOP in 2013-2015 and/or 2016-2018 and/or 2019-2021 and/or 2022-2024 they </w:t>
      </w:r>
      <w:r>
        <w:rPr>
          <w:color w:val="000000" w:themeColor="text1"/>
          <w:sz w:val="22"/>
          <w:szCs w:val="22"/>
          <w:lang w:val="en-GB"/>
        </w:rPr>
        <w:t>shall only have access to the titles of the package to which they subscribed (Standard/ Extra) in each of the four periods indicated above (the « Eligible Licensee »).</w:t>
      </w:r>
    </w:p>
    <w:p>
      <w:pPr>
        <w:jc w:val="both"/>
        <w:rPr>
          <w:color w:val="000000" w:themeColor="text1"/>
          <w:sz w:val="22"/>
          <w:szCs w:val="22"/>
          <w:lang w:val="en-GB"/>
        </w:rPr>
      </w:pPr>
      <w:r>
        <w:rPr>
          <w:color w:val="000000" w:themeColor="text1"/>
          <w:sz w:val="22"/>
          <w:szCs w:val="22"/>
          <w:lang w:val="en-GB"/>
        </w:rPr>
        <w:t>- The Licensee warrants to IOP that it has the necessary authorisation from INIST-CNRS for the purposes of this Licence.</w:t>
      </w:r>
    </w:p>
    <w:p>
      <w:pPr>
        <w:jc w:val="both"/>
        <w:rPr>
          <w:color w:val="000000" w:themeColor="text1"/>
          <w:sz w:val="22"/>
          <w:szCs w:val="22"/>
          <w:lang w:val="en-GB"/>
        </w:rPr>
      </w:pPr>
    </w:p>
    <w:p>
      <w:pPr>
        <w:jc w:val="both"/>
        <w:rPr>
          <w:color w:val="000000" w:themeColor="text1"/>
          <w:sz w:val="22"/>
          <w:szCs w:val="22"/>
        </w:rPr>
      </w:pPr>
      <w:r>
        <w:rPr>
          <w:color w:val="000000" w:themeColor="text1"/>
          <w:sz w:val="22"/>
          <w:szCs w:val="22"/>
        </w:rPr>
        <w:lastRenderedPageBreak/>
        <w:t>Un droit d’accès pérenne est accordé par IOP au Titulaire de Licence abonné sous certaines conditions :</w:t>
      </w:r>
    </w:p>
    <w:p>
      <w:pPr>
        <w:jc w:val="both"/>
        <w:rPr>
          <w:color w:val="000000" w:themeColor="text1"/>
          <w:sz w:val="22"/>
          <w:szCs w:val="22"/>
        </w:rPr>
      </w:pPr>
      <w:r>
        <w:rPr>
          <w:color w:val="000000" w:themeColor="text1"/>
          <w:sz w:val="22"/>
          <w:szCs w:val="22"/>
        </w:rPr>
        <w:t>- le Titulaire de Licence bénéficiaires doit avoir été membre du groupement de commandes IOP en</w:t>
      </w:r>
    </w:p>
    <w:p>
      <w:pPr>
        <w:jc w:val="both"/>
        <w:rPr>
          <w:color w:val="000000"/>
          <w:sz w:val="22"/>
          <w:szCs w:val="22"/>
        </w:rPr>
      </w:pPr>
      <w:r>
        <w:rPr>
          <w:color w:val="000000" w:themeColor="text1"/>
          <w:sz w:val="22"/>
          <w:szCs w:val="22"/>
        </w:rPr>
        <w:t xml:space="preserve">2013-2015 et/ou 2016-2018 et/ou </w:t>
      </w:r>
      <w:r>
        <w:rPr>
          <w:color w:val="000000"/>
          <w:sz w:val="22"/>
          <w:szCs w:val="22"/>
        </w:rPr>
        <w:t xml:space="preserve">2019-2021 et/ou </w:t>
      </w:r>
      <w:r>
        <w:rPr>
          <w:color w:val="000000" w:themeColor="text1"/>
          <w:sz w:val="22"/>
          <w:szCs w:val="22"/>
        </w:rPr>
        <w:t xml:space="preserve">abonné en </w:t>
      </w:r>
      <w:r>
        <w:rPr>
          <w:color w:val="000000"/>
          <w:sz w:val="22"/>
          <w:szCs w:val="22"/>
        </w:rPr>
        <w:t>2022-2024. Il ne peut avoir accès qu’aux titres du bouquet auquel il a été abonné (Standard/ Extra) à chacune des quatre périodes mentionnées ci-dessus.</w:t>
      </w:r>
    </w:p>
    <w:p>
      <w:pPr>
        <w:jc w:val="both"/>
        <w:rPr>
          <w:color w:val="000000"/>
          <w:sz w:val="22"/>
          <w:szCs w:val="22"/>
        </w:rPr>
      </w:pPr>
      <w:r>
        <w:rPr>
          <w:color w:val="000000"/>
          <w:sz w:val="22"/>
          <w:szCs w:val="22"/>
        </w:rPr>
        <w:t>- le Titulaire de Licence garantit à IOP qu’il possède les autorisations nécessaires de l’INIST-CNRS aux fins des présentes.</w:t>
      </w:r>
    </w:p>
    <w:p>
      <w:pPr>
        <w:jc w:val="both"/>
        <w:rPr>
          <w:color w:val="000000"/>
          <w:sz w:val="22"/>
          <w:szCs w:val="22"/>
        </w:rPr>
      </w:pPr>
    </w:p>
    <w:p>
      <w:pPr>
        <w:jc w:val="both"/>
        <w:rPr>
          <w:color w:val="000000"/>
          <w:sz w:val="22"/>
          <w:szCs w:val="22"/>
          <w:lang w:val="en-GB"/>
        </w:rPr>
      </w:pPr>
      <w:r>
        <w:rPr>
          <w:color w:val="000000"/>
          <w:sz w:val="22"/>
          <w:szCs w:val="22"/>
          <w:lang w:val="en-GB"/>
        </w:rPr>
        <w:t>12.2 All the content indicated in 12.1 above will be accessible only to the Eligible Licensee via the PANIST national platform or any other national deposit platform that comes to directly replace it (the « Platform »), complying with the methods of access below, developed by the operators appointed by the Ministry for Higher Education and Research.</w:t>
      </w:r>
    </w:p>
    <w:p>
      <w:pPr>
        <w:jc w:val="both"/>
        <w:rPr>
          <w:color w:val="000000"/>
          <w:sz w:val="22"/>
          <w:szCs w:val="22"/>
          <w:lang w:val="en-GB"/>
        </w:rPr>
      </w:pPr>
    </w:p>
    <w:p>
      <w:pPr>
        <w:jc w:val="both"/>
        <w:rPr>
          <w:color w:val="000000"/>
          <w:sz w:val="22"/>
          <w:szCs w:val="22"/>
        </w:rPr>
      </w:pPr>
      <w:r>
        <w:rPr>
          <w:color w:val="000000"/>
          <w:sz w:val="22"/>
          <w:szCs w:val="22"/>
        </w:rPr>
        <w:t>L’ensemble des contenus mentionnés au 12.1 sera accessible au Titulaire de Licence via la plateforme nationale PANIST, ou toute autre plateforme nationale de dépôt amenée à la remplacer, respectant les modalités d’accès ci-dessous, développée par les opérateurs désignés par le Ministère chargé de l’Enseignement Supérieur et de la Recherche.</w:t>
      </w:r>
    </w:p>
    <w:p>
      <w:pPr>
        <w:jc w:val="both"/>
        <w:rPr>
          <w:color w:val="000000"/>
          <w:sz w:val="22"/>
          <w:szCs w:val="22"/>
        </w:rPr>
      </w:pPr>
    </w:p>
    <w:p>
      <w:pPr>
        <w:jc w:val="both"/>
        <w:rPr>
          <w:color w:val="000000"/>
          <w:sz w:val="22"/>
          <w:szCs w:val="22"/>
          <w:lang w:val="en-GB"/>
        </w:rPr>
      </w:pPr>
      <w:r>
        <w:rPr>
          <w:color w:val="000000"/>
          <w:sz w:val="22"/>
          <w:szCs w:val="22"/>
          <w:lang w:val="en-GB"/>
        </w:rPr>
        <w:t>12.3 –Access to the Platform as set out in 12.2 above is granted by IOP free of charge without time limit. The Electronic copies of the content indicated in 12.</w:t>
      </w:r>
      <w:r>
        <w:rPr>
          <w:color w:val="000000" w:themeColor="text1"/>
          <w:sz w:val="22"/>
          <w:szCs w:val="22"/>
          <w:lang w:val="en-GB"/>
        </w:rPr>
        <w:t>1 above may be kept indefinitely, in accordance with the security guarantees and the conditions of use set out in this Licence.</w:t>
      </w:r>
    </w:p>
    <w:p>
      <w:pPr>
        <w:jc w:val="both"/>
        <w:rPr>
          <w:color w:val="000000"/>
          <w:sz w:val="22"/>
          <w:szCs w:val="22"/>
          <w:lang w:val="en-GB"/>
        </w:rPr>
      </w:pPr>
    </w:p>
    <w:p>
      <w:pPr>
        <w:jc w:val="both"/>
        <w:rPr>
          <w:color w:val="000000"/>
          <w:sz w:val="22"/>
          <w:szCs w:val="22"/>
        </w:rPr>
      </w:pPr>
      <w:r>
        <w:rPr>
          <w:color w:val="000000"/>
          <w:sz w:val="22"/>
          <w:szCs w:val="22"/>
        </w:rPr>
        <w:t>Cet accès sur la plateforme développée par les opérateurs désignés par le Ministère en charge de l’Enseignement Supérieur et de la Recherche est consenti par IOP à titre gratuit sans limite de temps. Les Copies électroniques des contenus mentionnés au §1 pourront être conservées indéfiniment, conformément aux garanties de sécurité et aux conditions d’utilisation énoncées dans la présente Licence.</w:t>
      </w:r>
    </w:p>
    <w:p>
      <w:pPr>
        <w:jc w:val="both"/>
        <w:rPr>
          <w:color w:val="000000"/>
          <w:sz w:val="22"/>
          <w:szCs w:val="22"/>
        </w:rPr>
      </w:pPr>
    </w:p>
    <w:p>
      <w:pPr>
        <w:jc w:val="both"/>
        <w:rPr>
          <w:color w:val="FF0000"/>
          <w:sz w:val="22"/>
          <w:szCs w:val="22"/>
          <w:lang w:val="en-GB"/>
        </w:rPr>
      </w:pPr>
      <w:r>
        <w:rPr>
          <w:color w:val="000000"/>
          <w:sz w:val="22"/>
          <w:szCs w:val="22"/>
          <w:lang w:val="en-GB"/>
        </w:rPr>
        <w:t xml:space="preserve">12.4 - The data and metadata of the contents mentioned in 12.1 (hereinafter, the "Electronic copy") </w:t>
      </w:r>
      <w:r>
        <w:rPr>
          <w:sz w:val="22"/>
          <w:szCs w:val="22"/>
          <w:lang w:val="en-GB"/>
        </w:rPr>
        <w:t>will be delivered annually on a physical support (such as by hard drive) by IOP to INIST-CNRS.</w:t>
      </w:r>
    </w:p>
    <w:p>
      <w:pPr>
        <w:jc w:val="both"/>
        <w:rPr>
          <w:color w:val="000000"/>
          <w:sz w:val="22"/>
          <w:szCs w:val="22"/>
          <w:lang w:val="en-GB"/>
        </w:rPr>
      </w:pPr>
    </w:p>
    <w:p>
      <w:pPr>
        <w:jc w:val="both"/>
        <w:rPr>
          <w:sz w:val="22"/>
          <w:szCs w:val="22"/>
        </w:rPr>
      </w:pPr>
      <w:r>
        <w:rPr>
          <w:sz w:val="22"/>
          <w:szCs w:val="22"/>
        </w:rPr>
        <w:t>Les données et métadonnées des contenus mentionnés au 12.1 (ci-après, la « Copie électronique ») seront livrées sur un support physique (comme un disque dur) annuellement par IOP à l’INIST-CNRS.</w:t>
      </w:r>
    </w:p>
    <w:p>
      <w:pPr>
        <w:jc w:val="both"/>
        <w:rPr>
          <w:color w:val="000000"/>
          <w:sz w:val="22"/>
          <w:szCs w:val="22"/>
        </w:rPr>
      </w:pPr>
    </w:p>
    <w:p>
      <w:pPr>
        <w:jc w:val="both"/>
        <w:rPr>
          <w:color w:val="000000"/>
          <w:sz w:val="22"/>
          <w:szCs w:val="22"/>
          <w:lang w:val="en-GB"/>
        </w:rPr>
      </w:pPr>
      <w:r>
        <w:rPr>
          <w:color w:val="000000"/>
          <w:sz w:val="22"/>
          <w:szCs w:val="22"/>
          <w:lang w:val="en-GB"/>
        </w:rPr>
        <w:t>12.5 The delivery of the 2022-2024 archives will take place after a 12-month holding period for each corresponding year: the year 2022 will be delivered in the last quarter of 2023, the year 2023 in the last quarter of 2024, and the year 2024 in last quarter of 2025.</w:t>
      </w:r>
    </w:p>
    <w:p>
      <w:pPr>
        <w:jc w:val="both"/>
        <w:rPr>
          <w:color w:val="000000"/>
          <w:sz w:val="22"/>
          <w:szCs w:val="22"/>
          <w:lang w:val="en-GB"/>
        </w:rPr>
      </w:pPr>
    </w:p>
    <w:p>
      <w:pPr>
        <w:jc w:val="both"/>
        <w:rPr>
          <w:color w:val="000000"/>
          <w:sz w:val="22"/>
          <w:szCs w:val="22"/>
        </w:rPr>
      </w:pPr>
      <w:r>
        <w:rPr>
          <w:color w:val="000000"/>
          <w:sz w:val="22"/>
          <w:szCs w:val="22"/>
        </w:rPr>
        <w:t xml:space="preserve">La livraison des archives 2022-2024 s’effectuera après un embargo de 12 mois pour chaque année </w:t>
      </w:r>
      <w:proofErr w:type="gramStart"/>
      <w:r>
        <w:rPr>
          <w:color w:val="000000"/>
          <w:sz w:val="22"/>
          <w:szCs w:val="22"/>
        </w:rPr>
        <w:t>correspondante:</w:t>
      </w:r>
      <w:proofErr w:type="gramEnd"/>
      <w:r>
        <w:rPr>
          <w:color w:val="000000"/>
          <w:sz w:val="22"/>
          <w:szCs w:val="22"/>
        </w:rPr>
        <w:t xml:space="preserve"> l’année 2022 sera versée au dernier trimestre 2023, l’année 2023 au dernier trimestre 2024, et l’année 2024 au dernier trimestre 2025.</w:t>
      </w:r>
    </w:p>
    <w:p>
      <w:pPr>
        <w:jc w:val="both"/>
        <w:rPr>
          <w:color w:val="000000"/>
          <w:sz w:val="22"/>
          <w:szCs w:val="22"/>
        </w:rPr>
      </w:pPr>
    </w:p>
    <w:p>
      <w:pPr>
        <w:jc w:val="both"/>
        <w:rPr>
          <w:color w:val="000000"/>
          <w:sz w:val="22"/>
          <w:szCs w:val="22"/>
          <w:lang w:val="en-GB"/>
        </w:rPr>
      </w:pPr>
      <w:r>
        <w:rPr>
          <w:color w:val="000000"/>
          <w:sz w:val="22"/>
          <w:szCs w:val="22"/>
          <w:lang w:val="en-GB"/>
        </w:rPr>
        <w:t xml:space="preserve">12.6 - The metadata will be delivered by IOP to INIST-CNRS in XML with a CC-0 licence </w:t>
      </w:r>
      <w:r>
        <w:rPr>
          <w:sz w:val="22"/>
          <w:szCs w:val="22"/>
          <w:lang w:val="en-GB"/>
        </w:rPr>
        <w:t xml:space="preserve">(excluding the abstract, which is </w:t>
      </w:r>
      <w:r>
        <w:rPr>
          <w:color w:val="000000" w:themeColor="text1"/>
          <w:sz w:val="22"/>
          <w:szCs w:val="22"/>
          <w:lang w:val="en-GB"/>
        </w:rPr>
        <w:t xml:space="preserve">not covered by this clause and subject to copyright restrictions) and a DTD (Document Type Definition) or data schema will be associated.  They should include all the bibliographic information available. IOP undertakes </w:t>
      </w:r>
      <w:r>
        <w:rPr>
          <w:color w:val="000000"/>
          <w:sz w:val="22"/>
          <w:szCs w:val="22"/>
          <w:lang w:val="en-GB"/>
        </w:rPr>
        <w:t>to provide any updates of the metadata on a monthly basis if necessary (see § 8 below).  They must also have information to link the metadata and the corresponding full article.</w:t>
      </w:r>
    </w:p>
    <w:p>
      <w:pPr>
        <w:jc w:val="both"/>
        <w:rPr>
          <w:color w:val="000000"/>
          <w:sz w:val="22"/>
          <w:szCs w:val="22"/>
          <w:lang w:val="en-GB"/>
        </w:rPr>
      </w:pPr>
    </w:p>
    <w:p>
      <w:pPr>
        <w:jc w:val="both"/>
        <w:rPr>
          <w:color w:val="000000"/>
          <w:sz w:val="22"/>
          <w:szCs w:val="22"/>
        </w:rPr>
      </w:pPr>
      <w:r>
        <w:rPr>
          <w:color w:val="000000"/>
          <w:sz w:val="22"/>
          <w:szCs w:val="22"/>
        </w:rPr>
        <w:t xml:space="preserve">Les métadonnées seront livrées par IOP à l’INIST-CNRS en XML et en </w:t>
      </w:r>
      <w:r>
        <w:rPr>
          <w:sz w:val="22"/>
          <w:szCs w:val="22"/>
        </w:rPr>
        <w:t xml:space="preserve">licence libre (à l’exclusion du résumé qui n’est pas couvert par cette clause mais assujetti aux contraintes du droit d’auteur), et </w:t>
      </w:r>
      <w:r>
        <w:rPr>
          <w:color w:val="000000"/>
          <w:sz w:val="22"/>
          <w:szCs w:val="22"/>
        </w:rPr>
        <w:t xml:space="preserve">une DTD (Document Type </w:t>
      </w:r>
      <w:proofErr w:type="spellStart"/>
      <w:r>
        <w:rPr>
          <w:color w:val="000000"/>
          <w:sz w:val="22"/>
          <w:szCs w:val="22"/>
        </w:rPr>
        <w:t>Definition</w:t>
      </w:r>
      <w:proofErr w:type="spellEnd"/>
      <w:r>
        <w:rPr>
          <w:color w:val="000000"/>
          <w:sz w:val="22"/>
          <w:szCs w:val="22"/>
        </w:rPr>
        <w:t>) ou un schéma de données y seront associés. Elles devront inclure l’intégralité des informations bibliographiques disponibles. L’éditeur s’engage à fournir toutes les éventuelles mises à jour des métadonnées sur une base mensuelle le cas échéant (voir § 8 ci-après). Elles doivent aussi disposer d’une information permettant de lier la métadonnée et l’article complet</w:t>
      </w:r>
    </w:p>
    <w:p>
      <w:pPr>
        <w:jc w:val="both"/>
        <w:rPr>
          <w:color w:val="000000"/>
          <w:sz w:val="22"/>
          <w:szCs w:val="22"/>
          <w:lang w:val="en-GB"/>
        </w:rPr>
      </w:pPr>
      <w:proofErr w:type="spellStart"/>
      <w:r>
        <w:rPr>
          <w:color w:val="000000"/>
          <w:sz w:val="22"/>
          <w:szCs w:val="22"/>
          <w:lang w:val="en-GB"/>
        </w:rPr>
        <w:lastRenderedPageBreak/>
        <w:t>correspondant</w:t>
      </w:r>
      <w:proofErr w:type="spellEnd"/>
      <w:r>
        <w:rPr>
          <w:color w:val="000000"/>
          <w:sz w:val="22"/>
          <w:szCs w:val="22"/>
          <w:lang w:val="en-GB"/>
        </w:rPr>
        <w:t>.</w:t>
      </w:r>
    </w:p>
    <w:p>
      <w:pPr>
        <w:jc w:val="both"/>
        <w:rPr>
          <w:color w:val="000000"/>
          <w:sz w:val="22"/>
          <w:szCs w:val="22"/>
          <w:lang w:val="en-GB"/>
        </w:rPr>
      </w:pPr>
    </w:p>
    <w:p>
      <w:pPr>
        <w:jc w:val="both"/>
        <w:rPr>
          <w:sz w:val="22"/>
          <w:szCs w:val="22"/>
          <w:lang w:val="en-GB"/>
        </w:rPr>
      </w:pPr>
      <w:r>
        <w:rPr>
          <w:color w:val="000000"/>
          <w:sz w:val="22"/>
          <w:szCs w:val="22"/>
          <w:lang w:val="en-GB"/>
        </w:rPr>
        <w:t xml:space="preserve">12.7- The data (full text) must be delivered in the same format as the one displayed on the IOP website. </w:t>
      </w:r>
      <w:r>
        <w:rPr>
          <w:sz w:val="22"/>
          <w:szCs w:val="22"/>
          <w:lang w:val="en-GB"/>
        </w:rPr>
        <w:t>They will be provided in XML (or in WML format for full text if this format is available on IOP site).  If IOP does not have data in XML format for its own platform, the data may be provided in PDF text mode only, in a version not inferior to that available online. A DTD or data schema will be associated with it (see 12.8 below).</w:t>
      </w:r>
    </w:p>
    <w:p>
      <w:pPr>
        <w:jc w:val="both"/>
        <w:rPr>
          <w:color w:val="000000"/>
          <w:sz w:val="22"/>
          <w:szCs w:val="22"/>
          <w:lang w:val="en-GB"/>
        </w:rPr>
      </w:pPr>
    </w:p>
    <w:p>
      <w:pPr>
        <w:jc w:val="both"/>
        <w:rPr>
          <w:color w:val="000000"/>
          <w:sz w:val="22"/>
          <w:szCs w:val="22"/>
        </w:rPr>
      </w:pPr>
      <w:r>
        <w:rPr>
          <w:color w:val="000000"/>
          <w:sz w:val="22"/>
          <w:szCs w:val="22"/>
        </w:rPr>
        <w:t xml:space="preserve">Les données (texte intégral) devront être livrées sous un format identique à celui exposé sur le site d’IOP. Elles seront fournies en XML (ou en format WML pour le texte plein si ce format est disponible sur le site éditeur). Si l’éditeur ne dispose pas de données en format XML pour sa propre plateforme, les données pourront être fournies en PDF mode texte uniquement, dans une version non inférieure à celle disponible en ligne. Une DTD ou un schéma de données y seront associés (voir </w:t>
      </w:r>
      <w:r>
        <w:rPr>
          <w:sz w:val="22"/>
          <w:szCs w:val="22"/>
        </w:rPr>
        <w:t xml:space="preserve">12.8 </w:t>
      </w:r>
      <w:r>
        <w:rPr>
          <w:color w:val="000000"/>
          <w:sz w:val="22"/>
          <w:szCs w:val="22"/>
        </w:rPr>
        <w:t>ci-après).</w:t>
      </w:r>
    </w:p>
    <w:p>
      <w:pPr>
        <w:jc w:val="both"/>
        <w:rPr>
          <w:color w:val="000000"/>
          <w:sz w:val="22"/>
          <w:szCs w:val="22"/>
        </w:rPr>
      </w:pPr>
    </w:p>
    <w:p>
      <w:pPr>
        <w:jc w:val="both"/>
        <w:rPr>
          <w:color w:val="000000"/>
          <w:sz w:val="22"/>
          <w:szCs w:val="22"/>
          <w:lang w:val="en-GB"/>
        </w:rPr>
      </w:pPr>
      <w:r>
        <w:rPr>
          <w:color w:val="000000"/>
          <w:sz w:val="22"/>
          <w:szCs w:val="22"/>
          <w:lang w:val="en-GB"/>
        </w:rPr>
        <w:t>12.8 - the total number of items and sub items.</w:t>
      </w:r>
    </w:p>
    <w:p>
      <w:pPr>
        <w:pStyle w:val="Paragraphedeliste"/>
        <w:numPr>
          <w:ilvl w:val="0"/>
          <w:numId w:val="1"/>
        </w:numPr>
        <w:jc w:val="both"/>
        <w:rPr>
          <w:color w:val="000000"/>
          <w:sz w:val="22"/>
          <w:szCs w:val="22"/>
          <w:lang w:val="en-GB"/>
        </w:rPr>
      </w:pPr>
      <w:r>
        <w:rPr>
          <w:color w:val="000000"/>
          <w:sz w:val="22"/>
          <w:szCs w:val="22"/>
          <w:lang w:val="en-GB"/>
        </w:rPr>
        <w:t>a description of the format of the data, that is to say the organisation of the data on the disc (e.g. ISSN/Year/volume/Number/… or Year/ISSN/volume/Number/…)</w:t>
      </w:r>
    </w:p>
    <w:p>
      <w:pPr>
        <w:pStyle w:val="Paragraphedeliste"/>
        <w:numPr>
          <w:ilvl w:val="0"/>
          <w:numId w:val="2"/>
        </w:numPr>
        <w:jc w:val="both"/>
        <w:rPr>
          <w:color w:val="000000"/>
          <w:sz w:val="22"/>
          <w:szCs w:val="22"/>
          <w:lang w:val="en-GB"/>
        </w:rPr>
      </w:pPr>
      <w:r>
        <w:rPr>
          <w:color w:val="000000"/>
          <w:sz w:val="22"/>
          <w:szCs w:val="22"/>
          <w:lang w:val="en-GB"/>
        </w:rPr>
        <w:t>if a specific nomenclature is used, a description of this will be requested (e.g. VOL=</w:t>
      </w:r>
      <w:proofErr w:type="spellStart"/>
      <w:r>
        <w:rPr>
          <w:color w:val="000000"/>
          <w:sz w:val="22"/>
          <w:szCs w:val="22"/>
          <w:lang w:val="en-GB"/>
        </w:rPr>
        <w:t>Year.VolumeID</w:t>
      </w:r>
      <w:proofErr w:type="spellEnd"/>
      <w:r>
        <w:rPr>
          <w:color w:val="000000"/>
          <w:sz w:val="22"/>
          <w:szCs w:val="22"/>
          <w:lang w:val="en-GB"/>
        </w:rPr>
        <w:t>).</w:t>
      </w:r>
    </w:p>
    <w:p>
      <w:pPr>
        <w:pStyle w:val="Paragraphedeliste"/>
        <w:numPr>
          <w:ilvl w:val="0"/>
          <w:numId w:val="2"/>
        </w:numPr>
        <w:jc w:val="both"/>
        <w:rPr>
          <w:color w:val="000000"/>
          <w:sz w:val="22"/>
          <w:szCs w:val="22"/>
          <w:lang w:val="en-GB"/>
        </w:rPr>
      </w:pPr>
      <w:r>
        <w:rPr>
          <w:color w:val="000000"/>
          <w:sz w:val="22"/>
          <w:szCs w:val="22"/>
          <w:lang w:val="en-GB"/>
        </w:rPr>
        <w:t>a file of rights specifying the titles, standard identifiers (ISSN, ISBN…), reference licence or</w:t>
      </w:r>
    </w:p>
    <w:p>
      <w:pPr>
        <w:pStyle w:val="Paragraphedeliste"/>
        <w:numPr>
          <w:ilvl w:val="0"/>
          <w:numId w:val="1"/>
        </w:numPr>
        <w:jc w:val="both"/>
        <w:rPr>
          <w:color w:val="000000"/>
          <w:sz w:val="22"/>
          <w:szCs w:val="22"/>
          <w:lang w:val="en-GB"/>
        </w:rPr>
      </w:pPr>
      <w:r>
        <w:rPr>
          <w:color w:val="000000"/>
          <w:sz w:val="22"/>
          <w:szCs w:val="22"/>
          <w:lang w:val="en-GB"/>
        </w:rPr>
        <w:t>contract (title by title, package N, national licence, …) and chronological periods concerned for each</w:t>
      </w:r>
    </w:p>
    <w:p>
      <w:pPr>
        <w:pStyle w:val="Paragraphedeliste"/>
        <w:numPr>
          <w:ilvl w:val="0"/>
          <w:numId w:val="1"/>
        </w:numPr>
        <w:jc w:val="both"/>
        <w:rPr>
          <w:color w:val="000000"/>
          <w:sz w:val="22"/>
          <w:szCs w:val="22"/>
          <w:lang w:val="en-GB"/>
        </w:rPr>
      </w:pPr>
      <w:r>
        <w:rPr>
          <w:color w:val="000000"/>
          <w:sz w:val="22"/>
          <w:szCs w:val="22"/>
          <w:lang w:val="en-GB"/>
        </w:rPr>
        <w:t>beneficiary establishment and its reference identifier.  The rules to be complied with and the file</w:t>
      </w:r>
    </w:p>
    <w:p>
      <w:pPr>
        <w:pStyle w:val="Paragraphedeliste"/>
        <w:numPr>
          <w:ilvl w:val="0"/>
          <w:numId w:val="1"/>
        </w:numPr>
        <w:jc w:val="both"/>
        <w:rPr>
          <w:color w:val="000000"/>
          <w:sz w:val="22"/>
          <w:szCs w:val="22"/>
          <w:lang w:val="en-GB"/>
        </w:rPr>
      </w:pPr>
      <w:r>
        <w:rPr>
          <w:color w:val="000000"/>
          <w:sz w:val="22"/>
          <w:szCs w:val="22"/>
          <w:lang w:val="en-GB"/>
        </w:rPr>
        <w:t>model will be communicated by the INIST-CNRS.</w:t>
      </w:r>
    </w:p>
    <w:p>
      <w:pPr>
        <w:jc w:val="both"/>
        <w:rPr>
          <w:color w:val="000000"/>
          <w:sz w:val="22"/>
          <w:szCs w:val="22"/>
          <w:lang w:val="en-GB"/>
        </w:rPr>
      </w:pPr>
    </w:p>
    <w:p>
      <w:pPr>
        <w:jc w:val="both"/>
        <w:rPr>
          <w:color w:val="000000"/>
          <w:sz w:val="22"/>
          <w:szCs w:val="22"/>
        </w:rPr>
      </w:pPr>
      <w:proofErr w:type="gramStart"/>
      <w:r>
        <w:rPr>
          <w:color w:val="000000"/>
          <w:sz w:val="22"/>
          <w:szCs w:val="22"/>
        </w:rPr>
        <w:t>le</w:t>
      </w:r>
      <w:proofErr w:type="gramEnd"/>
      <w:r>
        <w:rPr>
          <w:color w:val="000000"/>
          <w:sz w:val="22"/>
          <w:szCs w:val="22"/>
        </w:rPr>
        <w:t xml:space="preserve"> nombre total d’éléments et de sous éléments.</w:t>
      </w:r>
    </w:p>
    <w:p>
      <w:pPr>
        <w:jc w:val="both"/>
        <w:rPr>
          <w:color w:val="000000"/>
          <w:sz w:val="22"/>
          <w:szCs w:val="22"/>
        </w:rPr>
      </w:pPr>
    </w:p>
    <w:p>
      <w:pPr>
        <w:pStyle w:val="Paragraphedeliste"/>
        <w:numPr>
          <w:ilvl w:val="0"/>
          <w:numId w:val="1"/>
        </w:numPr>
        <w:jc w:val="both"/>
        <w:rPr>
          <w:color w:val="000000"/>
          <w:sz w:val="22"/>
          <w:szCs w:val="22"/>
        </w:rPr>
      </w:pPr>
      <w:proofErr w:type="gramStart"/>
      <w:r>
        <w:rPr>
          <w:color w:val="000000"/>
          <w:sz w:val="22"/>
          <w:szCs w:val="22"/>
        </w:rPr>
        <w:t>une</w:t>
      </w:r>
      <w:proofErr w:type="gramEnd"/>
      <w:r>
        <w:rPr>
          <w:color w:val="000000"/>
          <w:sz w:val="22"/>
          <w:szCs w:val="22"/>
        </w:rPr>
        <w:t xml:space="preserve"> description du format des données, c’est à dire l’organisation des données sur le disque (ex</w:t>
      </w:r>
    </w:p>
    <w:p>
      <w:pPr>
        <w:pStyle w:val="Paragraphedeliste"/>
        <w:jc w:val="both"/>
        <w:rPr>
          <w:color w:val="000000"/>
          <w:sz w:val="22"/>
          <w:szCs w:val="22"/>
        </w:rPr>
      </w:pPr>
      <w:r>
        <w:rPr>
          <w:color w:val="000000"/>
          <w:sz w:val="22"/>
          <w:szCs w:val="22"/>
        </w:rPr>
        <w:t>ISSN/Année/volume/</w:t>
      </w:r>
      <w:proofErr w:type="spellStart"/>
      <w:r>
        <w:rPr>
          <w:color w:val="000000"/>
          <w:sz w:val="22"/>
          <w:szCs w:val="22"/>
        </w:rPr>
        <w:t>Numero</w:t>
      </w:r>
      <w:proofErr w:type="spellEnd"/>
      <w:r>
        <w:rPr>
          <w:color w:val="000000"/>
          <w:sz w:val="22"/>
          <w:szCs w:val="22"/>
        </w:rPr>
        <w:t>/… ou Année/ISSN/volume/</w:t>
      </w:r>
      <w:proofErr w:type="spellStart"/>
      <w:r>
        <w:rPr>
          <w:color w:val="000000"/>
          <w:sz w:val="22"/>
          <w:szCs w:val="22"/>
        </w:rPr>
        <w:t>Numero</w:t>
      </w:r>
      <w:proofErr w:type="spellEnd"/>
      <w:r>
        <w:rPr>
          <w:color w:val="000000"/>
          <w:sz w:val="22"/>
          <w:szCs w:val="22"/>
        </w:rPr>
        <w:t>/…).</w:t>
      </w:r>
    </w:p>
    <w:p>
      <w:pPr>
        <w:pStyle w:val="Paragraphedeliste"/>
        <w:numPr>
          <w:ilvl w:val="0"/>
          <w:numId w:val="1"/>
        </w:numPr>
        <w:jc w:val="both"/>
        <w:rPr>
          <w:color w:val="000000"/>
          <w:sz w:val="22"/>
          <w:szCs w:val="22"/>
        </w:rPr>
      </w:pPr>
      <w:proofErr w:type="gramStart"/>
      <w:r>
        <w:rPr>
          <w:color w:val="000000"/>
          <w:sz w:val="22"/>
          <w:szCs w:val="22"/>
        </w:rPr>
        <w:t>si</w:t>
      </w:r>
      <w:proofErr w:type="gramEnd"/>
      <w:r>
        <w:rPr>
          <w:color w:val="000000"/>
          <w:sz w:val="22"/>
          <w:szCs w:val="22"/>
        </w:rPr>
        <w:t xml:space="preserve"> une nomenclature spécifique est utilisée, une description de celle-ci sera demandée (ex</w:t>
      </w:r>
    </w:p>
    <w:p>
      <w:pPr>
        <w:pStyle w:val="Paragraphedeliste"/>
        <w:numPr>
          <w:ilvl w:val="0"/>
          <w:numId w:val="14"/>
        </w:numPr>
        <w:jc w:val="both"/>
        <w:rPr>
          <w:color w:val="000000"/>
          <w:sz w:val="22"/>
          <w:szCs w:val="22"/>
        </w:rPr>
      </w:pPr>
      <w:r>
        <w:rPr>
          <w:color w:val="000000"/>
          <w:sz w:val="22"/>
          <w:szCs w:val="22"/>
        </w:rPr>
        <w:t>VOL=</w:t>
      </w:r>
      <w:proofErr w:type="spellStart"/>
      <w:r>
        <w:rPr>
          <w:color w:val="000000"/>
          <w:sz w:val="22"/>
          <w:szCs w:val="22"/>
        </w:rPr>
        <w:t>Year.Volume</w:t>
      </w:r>
      <w:proofErr w:type="spellEnd"/>
      <w:r>
        <w:rPr>
          <w:color w:val="000000"/>
          <w:sz w:val="22"/>
          <w:szCs w:val="22"/>
        </w:rPr>
        <w:t xml:space="preserve"> ID).</w:t>
      </w:r>
    </w:p>
    <w:p>
      <w:pPr>
        <w:pStyle w:val="Paragraphedeliste"/>
        <w:numPr>
          <w:ilvl w:val="0"/>
          <w:numId w:val="1"/>
        </w:numPr>
        <w:jc w:val="both"/>
        <w:rPr>
          <w:color w:val="000000"/>
          <w:sz w:val="22"/>
          <w:szCs w:val="22"/>
        </w:rPr>
      </w:pPr>
      <w:proofErr w:type="gramStart"/>
      <w:r>
        <w:rPr>
          <w:color w:val="000000"/>
          <w:sz w:val="22"/>
          <w:szCs w:val="22"/>
        </w:rPr>
        <w:t>un</w:t>
      </w:r>
      <w:proofErr w:type="gramEnd"/>
      <w:r>
        <w:rPr>
          <w:color w:val="000000"/>
          <w:sz w:val="22"/>
          <w:szCs w:val="22"/>
        </w:rPr>
        <w:t xml:space="preserve"> fichier de droits précisant pour chaque établissement bénéficiaire et son identifiant de référence, les titres, identifiants normalisés (ISSN, ISBN,…), contrat ou licence de référence (titre à titre, bouquet N, Licence nationale, …) et périodes chronologiques concernées. </w:t>
      </w:r>
    </w:p>
    <w:p>
      <w:pPr>
        <w:pStyle w:val="Paragraphedeliste"/>
        <w:numPr>
          <w:ilvl w:val="0"/>
          <w:numId w:val="1"/>
        </w:numPr>
        <w:jc w:val="both"/>
        <w:rPr>
          <w:color w:val="000000"/>
          <w:sz w:val="22"/>
          <w:szCs w:val="22"/>
        </w:rPr>
      </w:pPr>
      <w:r>
        <w:rPr>
          <w:color w:val="000000"/>
          <w:sz w:val="22"/>
          <w:szCs w:val="22"/>
        </w:rPr>
        <w:t>Les règles à respecter et le modèle de fichier seront communiqués par l’INIST-CNRS.</w:t>
      </w:r>
    </w:p>
    <w:p>
      <w:pPr>
        <w:jc w:val="both"/>
        <w:rPr>
          <w:color w:val="000000"/>
          <w:sz w:val="22"/>
          <w:szCs w:val="22"/>
        </w:rPr>
      </w:pPr>
    </w:p>
    <w:p>
      <w:pPr>
        <w:jc w:val="both"/>
        <w:rPr>
          <w:color w:val="000000"/>
          <w:sz w:val="22"/>
          <w:szCs w:val="22"/>
          <w:lang w:val="en-GB"/>
        </w:rPr>
      </w:pPr>
      <w:r>
        <w:rPr>
          <w:color w:val="000000"/>
          <w:sz w:val="22"/>
          <w:szCs w:val="22"/>
          <w:lang w:val="en-GB"/>
        </w:rPr>
        <w:t xml:space="preserve">12.9 – The INIST-CNRS is responsible for loading and making available archive data on the sites of the national deposit and will take charge of the costs of processing the data series necessary for putting the rights granted in place.  The Electronic copy may not contain certain links, devices and </w:t>
      </w:r>
      <w:r>
        <w:rPr>
          <w:color w:val="000000" w:themeColor="text1"/>
          <w:sz w:val="22"/>
          <w:szCs w:val="22"/>
          <w:lang w:val="en-GB"/>
        </w:rPr>
        <w:t>functionalities associated with the online version of the content described in 12.1 above.</w:t>
      </w:r>
    </w:p>
    <w:p>
      <w:pPr>
        <w:jc w:val="both"/>
        <w:rPr>
          <w:color w:val="000000" w:themeColor="text1"/>
          <w:sz w:val="22"/>
          <w:szCs w:val="22"/>
          <w:lang w:val="en-GB"/>
        </w:rPr>
      </w:pPr>
    </w:p>
    <w:p>
      <w:pPr>
        <w:jc w:val="both"/>
        <w:rPr>
          <w:color w:val="000000" w:themeColor="text1"/>
          <w:sz w:val="22"/>
          <w:szCs w:val="22"/>
        </w:rPr>
      </w:pPr>
      <w:r>
        <w:rPr>
          <w:color w:val="000000" w:themeColor="text1"/>
          <w:sz w:val="22"/>
          <w:szCs w:val="22"/>
        </w:rPr>
        <w:t>L’INIST-CNRS est responsable du chargement et de la mise à disposition des données d’archives sur les sites du dépôt national et prendra à sa charge les coûts de traitement des séries de données nécessaires pour la mise en place des droits concédés. La Copie électronique pourra ne pas contenir certains liens, dispositifs et fonctionnalités associés à la version en ligne des contenus décrits en 12.1.</w:t>
      </w:r>
    </w:p>
    <w:p>
      <w:pPr>
        <w:jc w:val="both"/>
        <w:rPr>
          <w:color w:val="000000" w:themeColor="text1"/>
          <w:sz w:val="22"/>
          <w:szCs w:val="22"/>
        </w:rPr>
      </w:pPr>
    </w:p>
    <w:p>
      <w:pPr>
        <w:jc w:val="both"/>
        <w:rPr>
          <w:color w:val="000000" w:themeColor="text1"/>
          <w:sz w:val="22"/>
          <w:szCs w:val="22"/>
          <w:lang w:val="en-GB"/>
        </w:rPr>
      </w:pPr>
      <w:r>
        <w:rPr>
          <w:color w:val="000000" w:themeColor="text1"/>
          <w:sz w:val="22"/>
          <w:szCs w:val="22"/>
          <w:lang w:val="en-GB"/>
        </w:rPr>
        <w:t>12.10 – The INIST-CNRS will be responsible for monitoring access by the Eligible Licensee, which access will be via the secure networks according to the rights of the Eligible Licensee and subject to the reservation of restrictions on use and other provisions of this Licence, including this article 12 and the Licence. The INIST-CNRS will put into operation the tools necessary to ensure ongoing monitoring of access to the Journals.</w:t>
      </w:r>
    </w:p>
    <w:p>
      <w:pPr>
        <w:jc w:val="both"/>
        <w:rPr>
          <w:color w:val="000000" w:themeColor="text1"/>
          <w:sz w:val="22"/>
          <w:szCs w:val="22"/>
          <w:lang w:val="en-GB"/>
        </w:rPr>
      </w:pPr>
    </w:p>
    <w:p>
      <w:pPr>
        <w:jc w:val="both"/>
        <w:rPr>
          <w:color w:val="000000"/>
          <w:sz w:val="22"/>
          <w:szCs w:val="22"/>
        </w:rPr>
      </w:pPr>
      <w:r>
        <w:rPr>
          <w:color w:val="000000"/>
          <w:sz w:val="22"/>
          <w:szCs w:val="22"/>
        </w:rPr>
        <w:t xml:space="preserve">L’INIST-CNRS sera responsable du contrôle des accès du Titulaire de Licence abonné, qui se feront via les réseaux sécurisés en fonction des droits du Titulaire de Licence abonné et sous réserve des </w:t>
      </w:r>
      <w:r>
        <w:rPr>
          <w:color w:val="000000"/>
          <w:sz w:val="22"/>
          <w:szCs w:val="22"/>
        </w:rPr>
        <w:lastRenderedPageBreak/>
        <w:t>restrictions d’usage et autres dispositions du présent marché et du Contrat de Licence, tels que définies dans le présent article 12 et dans le Contrat de Licence. L’INIST-CNRS mettra en œuvre les outils nécessaires pour assurer le contrôle d’accès aux contenus.</w:t>
      </w:r>
    </w:p>
    <w:p>
      <w:pPr>
        <w:jc w:val="both"/>
        <w:rPr>
          <w:color w:val="000000"/>
          <w:sz w:val="22"/>
          <w:szCs w:val="22"/>
        </w:rPr>
      </w:pPr>
    </w:p>
    <w:p>
      <w:pPr>
        <w:jc w:val="both"/>
        <w:rPr>
          <w:color w:val="000000"/>
          <w:sz w:val="22"/>
          <w:szCs w:val="22"/>
          <w:lang w:val="en-GB"/>
        </w:rPr>
      </w:pPr>
      <w:r>
        <w:rPr>
          <w:color w:val="000000"/>
          <w:sz w:val="22"/>
          <w:szCs w:val="22"/>
          <w:lang w:val="en-GB"/>
        </w:rPr>
        <w:t>12.11 - IOP will inform the INIST-CNRS of the rights of each Eligible Licensee.  IOP reserves the right to verify the regularity of access in relation to what is contractually provided with the site according to the rights of each Eligible Licensee by all legal means.</w:t>
      </w:r>
    </w:p>
    <w:p>
      <w:pPr>
        <w:jc w:val="both"/>
        <w:rPr>
          <w:color w:val="000000"/>
          <w:sz w:val="22"/>
          <w:szCs w:val="22"/>
          <w:lang w:val="en-GB"/>
        </w:rPr>
      </w:pPr>
    </w:p>
    <w:p>
      <w:pPr>
        <w:jc w:val="both"/>
        <w:rPr>
          <w:color w:val="000000" w:themeColor="text1"/>
          <w:sz w:val="22"/>
          <w:szCs w:val="22"/>
        </w:rPr>
      </w:pPr>
      <w:r>
        <w:rPr>
          <w:color w:val="000000"/>
          <w:sz w:val="22"/>
          <w:szCs w:val="22"/>
        </w:rPr>
        <w:t xml:space="preserve">IOP communiquera à l’INIST-CNRS les droits de chaque Abonné. IOP se réserve le droit de vérifier auprès du site de dépôt en fonction des droits de chaque Abonné, par tous les moyens légaux, la </w:t>
      </w:r>
      <w:r>
        <w:rPr>
          <w:color w:val="000000" w:themeColor="text1"/>
          <w:sz w:val="22"/>
          <w:szCs w:val="22"/>
        </w:rPr>
        <w:t>régularité des accès par rapport à ce qui est contractuellement prévu.</w:t>
      </w:r>
    </w:p>
    <w:p>
      <w:pPr>
        <w:jc w:val="both"/>
        <w:rPr>
          <w:color w:val="000000" w:themeColor="text1"/>
          <w:sz w:val="22"/>
          <w:szCs w:val="22"/>
        </w:rPr>
      </w:pPr>
    </w:p>
    <w:p>
      <w:pPr>
        <w:jc w:val="both"/>
        <w:rPr>
          <w:color w:val="000000" w:themeColor="text1"/>
          <w:sz w:val="22"/>
          <w:szCs w:val="22"/>
          <w:lang w:val="en-GB"/>
        </w:rPr>
      </w:pPr>
      <w:r>
        <w:rPr>
          <w:color w:val="000000" w:themeColor="text1"/>
          <w:sz w:val="22"/>
          <w:szCs w:val="22"/>
          <w:lang w:val="en-GB"/>
        </w:rPr>
        <w:t>12.12- IOP grants Authorised Users the right to remotely use its database and data loaded on archiving platforms. As such, Authorised Users will have access to the Services. To these services will be added the possibility of carrying out text mining (Text and Data Mining - see article 13).</w:t>
      </w:r>
    </w:p>
    <w:p>
      <w:pPr>
        <w:jc w:val="both"/>
        <w:rPr>
          <w:color w:val="000000" w:themeColor="text1"/>
          <w:sz w:val="22"/>
          <w:szCs w:val="22"/>
          <w:lang w:val="en-GB"/>
        </w:rPr>
      </w:pPr>
    </w:p>
    <w:p>
      <w:pPr>
        <w:jc w:val="both"/>
        <w:rPr>
          <w:color w:val="000000" w:themeColor="text1"/>
          <w:sz w:val="22"/>
          <w:szCs w:val="22"/>
        </w:rPr>
      </w:pPr>
      <w:r>
        <w:rPr>
          <w:color w:val="000000" w:themeColor="text1"/>
          <w:sz w:val="22"/>
          <w:szCs w:val="22"/>
        </w:rPr>
        <w:t>IOP accorde aux utilisateurs autorisés un droit d’utilisation à distance de sa base de données et des données chargées sur les plateformes d’archivage. A ces services s’ajoutera la possibilité d’effectuer de la fouille de texte (</w:t>
      </w:r>
      <w:proofErr w:type="spellStart"/>
      <w:r>
        <w:rPr>
          <w:color w:val="000000" w:themeColor="text1"/>
          <w:sz w:val="22"/>
          <w:szCs w:val="22"/>
        </w:rPr>
        <w:t>Text</w:t>
      </w:r>
      <w:proofErr w:type="spellEnd"/>
      <w:r>
        <w:rPr>
          <w:color w:val="000000" w:themeColor="text1"/>
          <w:sz w:val="22"/>
          <w:szCs w:val="22"/>
        </w:rPr>
        <w:t xml:space="preserve"> and Data Mining – voir article 13 ci-après de la licence).</w:t>
      </w:r>
    </w:p>
    <w:p>
      <w:pPr>
        <w:jc w:val="both"/>
        <w:rPr>
          <w:color w:val="000000" w:themeColor="text1"/>
          <w:sz w:val="22"/>
          <w:szCs w:val="22"/>
        </w:rPr>
      </w:pPr>
    </w:p>
    <w:p>
      <w:pPr>
        <w:jc w:val="both"/>
        <w:rPr>
          <w:color w:val="000000" w:themeColor="text1"/>
          <w:sz w:val="22"/>
          <w:szCs w:val="22"/>
          <w:lang w:val="en-GB"/>
        </w:rPr>
      </w:pPr>
      <w:r>
        <w:rPr>
          <w:color w:val="000000" w:themeColor="text1"/>
          <w:sz w:val="22"/>
          <w:szCs w:val="22"/>
          <w:lang w:val="en-GB"/>
        </w:rPr>
        <w:t>12.13 - IOP recognizes that no technical protection measure (DRM) preventing or restricting the use of</w:t>
      </w:r>
    </w:p>
    <w:p>
      <w:pPr>
        <w:jc w:val="both"/>
        <w:rPr>
          <w:color w:val="000000" w:themeColor="text1"/>
          <w:sz w:val="22"/>
          <w:szCs w:val="22"/>
          <w:lang w:val="en-GB"/>
        </w:rPr>
      </w:pPr>
      <w:r>
        <w:rPr>
          <w:color w:val="000000" w:themeColor="text1"/>
          <w:sz w:val="22"/>
          <w:szCs w:val="22"/>
          <w:lang w:val="en-GB"/>
        </w:rPr>
        <w:t>transmitted data will be implemented.</w:t>
      </w:r>
    </w:p>
    <w:p>
      <w:pPr>
        <w:jc w:val="both"/>
        <w:rPr>
          <w:color w:val="000000" w:themeColor="text1"/>
          <w:sz w:val="22"/>
          <w:szCs w:val="22"/>
          <w:lang w:val="en-GB"/>
        </w:rPr>
      </w:pPr>
    </w:p>
    <w:p>
      <w:pPr>
        <w:jc w:val="both"/>
        <w:rPr>
          <w:color w:val="000000" w:themeColor="text1"/>
          <w:sz w:val="22"/>
          <w:szCs w:val="22"/>
        </w:rPr>
      </w:pPr>
      <w:r>
        <w:rPr>
          <w:color w:val="000000" w:themeColor="text1"/>
          <w:sz w:val="22"/>
          <w:szCs w:val="22"/>
        </w:rPr>
        <w:t>IOP reconnaît qu’aucune mesure technique de protection (DRM) empêchant ou restreignant l’utilisation des données transmises ne sera mise en œuvre.</w:t>
      </w:r>
    </w:p>
    <w:p>
      <w:pPr>
        <w:jc w:val="both"/>
        <w:rPr>
          <w:color w:val="000000" w:themeColor="text1"/>
          <w:sz w:val="22"/>
          <w:szCs w:val="22"/>
        </w:rPr>
      </w:pPr>
    </w:p>
    <w:p>
      <w:pPr>
        <w:jc w:val="both"/>
        <w:rPr>
          <w:color w:val="000000" w:themeColor="text1"/>
          <w:sz w:val="22"/>
          <w:szCs w:val="22"/>
          <w:lang w:val="en-GB"/>
        </w:rPr>
      </w:pPr>
      <w:r>
        <w:rPr>
          <w:color w:val="000000" w:themeColor="text1"/>
          <w:sz w:val="22"/>
          <w:szCs w:val="22"/>
          <w:lang w:val="en-GB"/>
        </w:rPr>
        <w:t>12.14- Beneficiaries will not share access with third parties that are not eligible for the qualification of</w:t>
      </w:r>
    </w:p>
    <w:p>
      <w:pPr>
        <w:jc w:val="both"/>
        <w:rPr>
          <w:color w:val="000000" w:themeColor="text1"/>
          <w:sz w:val="22"/>
          <w:szCs w:val="22"/>
          <w:lang w:val="en-GB"/>
        </w:rPr>
      </w:pPr>
      <w:r>
        <w:rPr>
          <w:color w:val="000000" w:themeColor="text1"/>
          <w:sz w:val="22"/>
          <w:szCs w:val="22"/>
          <w:lang w:val="en-GB"/>
        </w:rPr>
        <w:t>Authorised Users, whether directly or indirectly.</w:t>
      </w:r>
    </w:p>
    <w:p>
      <w:pPr>
        <w:jc w:val="both"/>
        <w:rPr>
          <w:color w:val="000000" w:themeColor="text1"/>
          <w:sz w:val="22"/>
          <w:szCs w:val="22"/>
          <w:lang w:val="en-GB"/>
        </w:rPr>
      </w:pPr>
    </w:p>
    <w:p>
      <w:pPr>
        <w:jc w:val="both"/>
        <w:rPr>
          <w:color w:val="000000" w:themeColor="text1"/>
          <w:sz w:val="22"/>
          <w:szCs w:val="22"/>
        </w:rPr>
      </w:pPr>
      <w:r>
        <w:rPr>
          <w:color w:val="000000" w:themeColor="text1"/>
          <w:sz w:val="22"/>
          <w:szCs w:val="22"/>
        </w:rPr>
        <w:t>Les bénéficiaires ne partageront pas l’accès avec des tiers non éligibles à la qualification d’Utilisateurs autorisés, que ce soit directement ou indirectement.</w:t>
      </w:r>
    </w:p>
    <w:p>
      <w:pPr>
        <w:jc w:val="both"/>
        <w:rPr>
          <w:color w:val="000000" w:themeColor="text1"/>
          <w:sz w:val="22"/>
          <w:szCs w:val="22"/>
        </w:rPr>
      </w:pPr>
    </w:p>
    <w:p>
      <w:pPr>
        <w:jc w:val="both"/>
        <w:rPr>
          <w:color w:val="000000"/>
          <w:sz w:val="22"/>
          <w:szCs w:val="22"/>
          <w:lang w:val="en-GB"/>
        </w:rPr>
      </w:pPr>
      <w:r>
        <w:rPr>
          <w:color w:val="000000" w:themeColor="text1"/>
          <w:sz w:val="22"/>
          <w:szCs w:val="22"/>
          <w:lang w:val="en-GB"/>
        </w:rPr>
        <w:t xml:space="preserve">12.15- On a quarterly basis (every </w:t>
      </w:r>
      <w:r>
        <w:rPr>
          <w:color w:val="000000"/>
          <w:sz w:val="22"/>
          <w:szCs w:val="22"/>
          <w:lang w:val="en-GB"/>
        </w:rPr>
        <w:t>four months), INIST will transmit the annual statistics of consultation of the IOP archives delivered in PANIST in JR 1 format.</w:t>
      </w:r>
    </w:p>
    <w:p>
      <w:pPr>
        <w:jc w:val="both"/>
        <w:rPr>
          <w:color w:val="000000"/>
          <w:sz w:val="22"/>
          <w:szCs w:val="22"/>
          <w:lang w:val="en-GB"/>
        </w:rPr>
      </w:pPr>
    </w:p>
    <w:p>
      <w:pPr>
        <w:jc w:val="both"/>
        <w:rPr>
          <w:color w:val="000000"/>
          <w:sz w:val="22"/>
          <w:szCs w:val="22"/>
        </w:rPr>
      </w:pPr>
      <w:r>
        <w:rPr>
          <w:color w:val="000000"/>
          <w:sz w:val="22"/>
          <w:szCs w:val="22"/>
        </w:rPr>
        <w:t>Tous les trimestres, l’INIST transmettra les statistiques annuelles de consultation des archives</w:t>
      </w:r>
    </w:p>
    <w:p>
      <w:pPr>
        <w:jc w:val="both"/>
        <w:rPr>
          <w:color w:val="000000"/>
          <w:sz w:val="22"/>
          <w:szCs w:val="22"/>
        </w:rPr>
      </w:pPr>
      <w:proofErr w:type="gramStart"/>
      <w:r>
        <w:rPr>
          <w:color w:val="000000"/>
          <w:sz w:val="22"/>
          <w:szCs w:val="22"/>
        </w:rPr>
        <w:t>IOP versées</w:t>
      </w:r>
      <w:proofErr w:type="gramEnd"/>
      <w:r>
        <w:rPr>
          <w:color w:val="000000"/>
          <w:sz w:val="22"/>
          <w:szCs w:val="22"/>
        </w:rPr>
        <w:t xml:space="preserve"> sur PANIST au format JR 1.</w:t>
      </w:r>
    </w:p>
    <w:p>
      <w:pPr>
        <w:jc w:val="both"/>
        <w:rPr>
          <w:b/>
          <w:sz w:val="22"/>
          <w:szCs w:val="22"/>
        </w:rPr>
      </w:pPr>
    </w:p>
    <w:p>
      <w:pPr>
        <w:jc w:val="both"/>
        <w:rPr>
          <w:b/>
          <w:color w:val="000000" w:themeColor="text1"/>
          <w:sz w:val="22"/>
          <w:szCs w:val="22"/>
        </w:rPr>
      </w:pPr>
      <w:proofErr w:type="spellStart"/>
      <w:r>
        <w:rPr>
          <w:b/>
          <w:sz w:val="22"/>
          <w:szCs w:val="22"/>
        </w:rPr>
        <w:t>Text</w:t>
      </w:r>
      <w:proofErr w:type="spellEnd"/>
      <w:r>
        <w:rPr>
          <w:b/>
          <w:sz w:val="22"/>
          <w:szCs w:val="22"/>
        </w:rPr>
        <w:t xml:space="preserve"> and Data Mining</w:t>
      </w:r>
    </w:p>
    <w:p>
      <w:pPr>
        <w:jc w:val="both"/>
        <w:rPr>
          <w:b/>
          <w:color w:val="000000" w:themeColor="text1"/>
          <w:sz w:val="22"/>
          <w:szCs w:val="22"/>
        </w:rPr>
      </w:pPr>
      <w:r>
        <w:rPr>
          <w:b/>
          <w:color w:val="000000" w:themeColor="text1"/>
          <w:sz w:val="22"/>
          <w:szCs w:val="22"/>
        </w:rPr>
        <w:t>Exploration de textes et de données</w:t>
      </w:r>
    </w:p>
    <w:p>
      <w:pPr>
        <w:jc w:val="both"/>
        <w:rPr>
          <w:b/>
          <w:color w:val="000000" w:themeColor="text1"/>
          <w:sz w:val="22"/>
          <w:szCs w:val="22"/>
        </w:rPr>
      </w:pPr>
    </w:p>
    <w:p>
      <w:pPr>
        <w:autoSpaceDE w:val="0"/>
        <w:autoSpaceDN w:val="0"/>
        <w:adjustRightInd w:val="0"/>
        <w:jc w:val="both"/>
        <w:rPr>
          <w:rFonts w:cs="TimesNewRomanPSMT"/>
          <w:color w:val="000000" w:themeColor="text1"/>
          <w:sz w:val="22"/>
          <w:szCs w:val="22"/>
          <w:lang w:val="en-GB"/>
        </w:rPr>
      </w:pPr>
      <w:r>
        <w:rPr>
          <w:rFonts w:cs="TimesNewRomanPSMT"/>
          <w:color w:val="000000" w:themeColor="text1"/>
          <w:sz w:val="22"/>
          <w:szCs w:val="22"/>
          <w:lang w:val="en-GB"/>
        </w:rPr>
        <w:t>13 - “Text and Data Mining” means to download, extract and index information from the Journals.  Where required, mount, load and integrate the results on a server used for the Eligible Licensee’s text-mining system and evaluate and interpret the TDM Output. The Eligible Licensee shall use all reasonable efforts to ensure compliance with this Licence, including security and technical access requirements.</w:t>
      </w:r>
    </w:p>
    <w:p>
      <w:pPr>
        <w:autoSpaceDE w:val="0"/>
        <w:autoSpaceDN w:val="0"/>
        <w:adjustRightInd w:val="0"/>
        <w:jc w:val="both"/>
        <w:rPr>
          <w:rFonts w:cs="TimesNewRomanPSMT"/>
          <w:color w:val="000000" w:themeColor="text1"/>
          <w:sz w:val="22"/>
          <w:szCs w:val="22"/>
          <w:lang w:val="en-GB"/>
        </w:rPr>
      </w:pPr>
    </w:p>
    <w:p>
      <w:pPr>
        <w:autoSpaceDE w:val="0"/>
        <w:autoSpaceDN w:val="0"/>
        <w:adjustRightInd w:val="0"/>
        <w:jc w:val="both"/>
        <w:rPr>
          <w:rFonts w:cs="TimesNewRomanPSMT"/>
          <w:color w:val="000000" w:themeColor="text1"/>
          <w:sz w:val="22"/>
          <w:szCs w:val="22"/>
        </w:rPr>
      </w:pPr>
      <w:r>
        <w:rPr>
          <w:rFonts w:cs="TimesNewRomanPSMT"/>
          <w:color w:val="000000" w:themeColor="text1"/>
          <w:sz w:val="22"/>
          <w:szCs w:val="22"/>
        </w:rPr>
        <w:t xml:space="preserve">Par </w:t>
      </w:r>
      <w:proofErr w:type="spellStart"/>
      <w:r>
        <w:rPr>
          <w:rFonts w:cs="TimesNewRomanPSMT"/>
          <w:i/>
          <w:color w:val="000000" w:themeColor="text1"/>
          <w:sz w:val="22"/>
          <w:szCs w:val="22"/>
        </w:rPr>
        <w:t>Text</w:t>
      </w:r>
      <w:proofErr w:type="spellEnd"/>
      <w:r>
        <w:rPr>
          <w:rFonts w:cs="TimesNewRomanPSMT"/>
          <w:i/>
          <w:color w:val="000000" w:themeColor="text1"/>
          <w:sz w:val="22"/>
          <w:szCs w:val="22"/>
        </w:rPr>
        <w:t xml:space="preserve"> and Data Mining</w:t>
      </w:r>
      <w:r>
        <w:rPr>
          <w:rFonts w:cs="TimesNewRomanPSMT"/>
          <w:color w:val="000000" w:themeColor="text1"/>
          <w:sz w:val="22"/>
          <w:szCs w:val="22"/>
        </w:rPr>
        <w:t xml:space="preserve"> (TDM), ou exploration de texte et de données, on entend l’action de télécharger, extraire et indexer des informations à partir des revues. Le cas échéant, cela signifie également télécharger et intégrer les résultats sur un serveur utilisé par le système de </w:t>
      </w:r>
      <w:proofErr w:type="spellStart"/>
      <w:r>
        <w:rPr>
          <w:rFonts w:cs="TimesNewRomanPSMT"/>
          <w:i/>
          <w:color w:val="000000" w:themeColor="text1"/>
          <w:sz w:val="22"/>
          <w:szCs w:val="22"/>
        </w:rPr>
        <w:t>text</w:t>
      </w:r>
      <w:proofErr w:type="spellEnd"/>
      <w:r>
        <w:rPr>
          <w:rFonts w:cs="TimesNewRomanPSMT"/>
          <w:i/>
          <w:color w:val="000000" w:themeColor="text1"/>
          <w:sz w:val="22"/>
          <w:szCs w:val="22"/>
        </w:rPr>
        <w:t xml:space="preserve"> </w:t>
      </w:r>
      <w:proofErr w:type="spellStart"/>
      <w:r>
        <w:rPr>
          <w:rFonts w:cs="TimesNewRomanPSMT"/>
          <w:i/>
          <w:color w:val="000000" w:themeColor="text1"/>
          <w:sz w:val="22"/>
          <w:szCs w:val="22"/>
        </w:rPr>
        <w:t>mining</w:t>
      </w:r>
      <w:proofErr w:type="spellEnd"/>
      <w:r>
        <w:rPr>
          <w:rFonts w:cs="TimesNewRomanPSMT"/>
          <w:color w:val="000000" w:themeColor="text1"/>
          <w:sz w:val="22"/>
          <w:szCs w:val="22"/>
        </w:rPr>
        <w:t xml:space="preserve"> de</w:t>
      </w:r>
      <w:r>
        <w:t xml:space="preserve"> </w:t>
      </w:r>
      <w:r>
        <w:rPr>
          <w:rFonts w:cs="TimesNewRomanPSMT"/>
          <w:color w:val="000000" w:themeColor="text1"/>
          <w:sz w:val="22"/>
          <w:szCs w:val="22"/>
        </w:rPr>
        <w:t>Titulaire de Licence abonné ainsi qu’évaluer et interpréter les résultats de l’exploration. Le Titulaire de Licence abonné doit déployer des efforts proportionnés pour assurer le respect de la licence, y compris les exigences en termes de sécurité et d’accès technique.</w:t>
      </w:r>
    </w:p>
    <w:p>
      <w:pPr>
        <w:autoSpaceDE w:val="0"/>
        <w:autoSpaceDN w:val="0"/>
        <w:adjustRightInd w:val="0"/>
        <w:jc w:val="both"/>
        <w:rPr>
          <w:rFonts w:cs="TimesNewRomanPSMT"/>
          <w:color w:val="000000" w:themeColor="text1"/>
          <w:sz w:val="22"/>
          <w:szCs w:val="22"/>
        </w:rPr>
      </w:pPr>
    </w:p>
    <w:p>
      <w:pPr>
        <w:autoSpaceDE w:val="0"/>
        <w:autoSpaceDN w:val="0"/>
        <w:adjustRightInd w:val="0"/>
        <w:jc w:val="both"/>
        <w:rPr>
          <w:rFonts w:cs="TimesNewRomanPSMT"/>
          <w:color w:val="000000" w:themeColor="text1"/>
          <w:sz w:val="22"/>
          <w:szCs w:val="22"/>
          <w:lang w:val="en-GB"/>
        </w:rPr>
      </w:pPr>
      <w:r>
        <w:rPr>
          <w:rFonts w:cs="TimesNewRomanPSMT"/>
          <w:color w:val="000000" w:themeColor="text1"/>
          <w:sz w:val="22"/>
          <w:szCs w:val="22"/>
          <w:lang w:val="en-GB"/>
        </w:rPr>
        <w:lastRenderedPageBreak/>
        <w:t>“Text and Data Mining Output” (“TDM Output”) means the result of any Text and Data Mining activity or operation, capable of fixation, reproduction and/or communication in any form, such as in the creation of an index, reference, abstract, relative or absolute description or representation of the Journals, an algorithm, formula, metrics, method, standard or taxonomy describing or based on the Journals, a relational expression or measurement, whether scalable or not, of the Journals, extraction</w:t>
      </w:r>
      <w:r>
        <w:rPr>
          <w:rFonts w:cs="TimesNewRomanPSMT"/>
          <w:color w:val="000000"/>
          <w:sz w:val="22"/>
          <w:szCs w:val="22"/>
          <w:lang w:val="en-GB"/>
        </w:rPr>
        <w:t xml:space="preserve">, alternative </w:t>
      </w:r>
      <w:r>
        <w:rPr>
          <w:rFonts w:cs="TimesNewRomanPSMT"/>
          <w:color w:val="000000" w:themeColor="text1"/>
          <w:sz w:val="22"/>
          <w:szCs w:val="22"/>
          <w:lang w:val="en-GB"/>
        </w:rPr>
        <w:t>representation or translation, expression or discussion of any extracts from mined Journals, whether in the form of a direct extraction or a representation in any form which is based on the Journals.</w:t>
      </w:r>
    </w:p>
    <w:p>
      <w:pPr>
        <w:autoSpaceDE w:val="0"/>
        <w:autoSpaceDN w:val="0"/>
        <w:adjustRightInd w:val="0"/>
        <w:jc w:val="both"/>
        <w:rPr>
          <w:rFonts w:cs="TimesNewRomanPSMT"/>
          <w:color w:val="000000" w:themeColor="text1"/>
          <w:sz w:val="22"/>
          <w:szCs w:val="22"/>
          <w:lang w:val="en-GB"/>
        </w:rPr>
      </w:pPr>
    </w:p>
    <w:p>
      <w:pPr>
        <w:autoSpaceDE w:val="0"/>
        <w:autoSpaceDN w:val="0"/>
        <w:adjustRightInd w:val="0"/>
        <w:jc w:val="both"/>
        <w:rPr>
          <w:rFonts w:cs="TimesNewRomanPSMT"/>
          <w:color w:val="000000" w:themeColor="text1"/>
          <w:sz w:val="22"/>
          <w:szCs w:val="22"/>
        </w:rPr>
      </w:pPr>
      <w:r>
        <w:rPr>
          <w:rFonts w:cs="TimesNewRomanPSMT"/>
          <w:color w:val="000000" w:themeColor="text1"/>
          <w:sz w:val="22"/>
          <w:szCs w:val="22"/>
        </w:rPr>
        <w:t>Par</w:t>
      </w:r>
      <w:r>
        <w:rPr>
          <w:rFonts w:cs="TimesNewRomanPSMT"/>
          <w:i/>
          <w:color w:val="000000" w:themeColor="text1"/>
          <w:sz w:val="22"/>
          <w:szCs w:val="22"/>
        </w:rPr>
        <w:t xml:space="preserve"> </w:t>
      </w:r>
      <w:proofErr w:type="spellStart"/>
      <w:r>
        <w:rPr>
          <w:rFonts w:cs="TimesNewRomanPSMT"/>
          <w:i/>
          <w:color w:val="000000" w:themeColor="text1"/>
          <w:sz w:val="22"/>
          <w:szCs w:val="22"/>
        </w:rPr>
        <w:t>Text</w:t>
      </w:r>
      <w:proofErr w:type="spellEnd"/>
      <w:r>
        <w:rPr>
          <w:rFonts w:cs="TimesNewRomanPSMT"/>
          <w:i/>
          <w:color w:val="000000" w:themeColor="text1"/>
          <w:sz w:val="22"/>
          <w:szCs w:val="22"/>
        </w:rPr>
        <w:t xml:space="preserve"> and Data Mining Output (TDM Output)</w:t>
      </w:r>
      <w:r>
        <w:rPr>
          <w:rFonts w:cs="TimesNewRomanPSMT"/>
          <w:color w:val="000000" w:themeColor="text1"/>
          <w:sz w:val="22"/>
          <w:szCs w:val="22"/>
        </w:rPr>
        <w:t xml:space="preserve"> signifie le produit de toute activité ou opération de TDM, capable de fixer, de reproduire et / ou de communiquer les données sous n’importe quelle forme, par exemple la création d’un index, d’une référence, d’un résumé, d’un description partielle ou complète du contenu, d’un algorithme, d’une formule, d’un calcul, d’une méthode, d’un standard, d’une norme ou d’une taxonomie, décrivant ou basé sur le contenu, de l’expression ou de la mesure relationnelle, évolutive ou non, du contenu, d’une extraction, d’une représentation alternative ou de la traduction, de l’expression ou de la discussion de tous extraits du contenu exploré, qu’il s’agisse d’une extraction directe ou d’une représentation sous une forme quelconque basée sur le contenu.</w:t>
      </w:r>
    </w:p>
    <w:p>
      <w:pPr>
        <w:autoSpaceDE w:val="0"/>
        <w:autoSpaceDN w:val="0"/>
        <w:adjustRightInd w:val="0"/>
        <w:jc w:val="both"/>
        <w:rPr>
          <w:rFonts w:cs="TimesNewRomanPSMT"/>
          <w:color w:val="000000" w:themeColor="text1"/>
          <w:sz w:val="22"/>
          <w:szCs w:val="22"/>
        </w:rPr>
      </w:pPr>
    </w:p>
    <w:p>
      <w:pPr>
        <w:autoSpaceDE w:val="0"/>
        <w:autoSpaceDN w:val="0"/>
        <w:adjustRightInd w:val="0"/>
        <w:jc w:val="both"/>
        <w:rPr>
          <w:rFonts w:cs="TimesNewRomanPSMT"/>
          <w:sz w:val="22"/>
          <w:szCs w:val="22"/>
          <w:lang w:val="en-GB"/>
        </w:rPr>
      </w:pPr>
      <w:r>
        <w:rPr>
          <w:rFonts w:cs="TimesNewRomanPSMT"/>
          <w:color w:val="000000" w:themeColor="text1"/>
          <w:sz w:val="22"/>
          <w:szCs w:val="22"/>
          <w:lang w:val="en-GB"/>
        </w:rPr>
        <w:t>14 - The Eligible Licensee may load and technically format the Journals on its or a third party server that enables access to and use of the Journals for Text and Data Mining purposes by Authorised Users by using automated programs or devices to continuously and automatically (</w:t>
      </w:r>
      <w:proofErr w:type="spellStart"/>
      <w:r>
        <w:rPr>
          <w:rFonts w:cs="TimesNewRomanPSMT"/>
          <w:color w:val="000000" w:themeColor="text1"/>
          <w:sz w:val="22"/>
          <w:szCs w:val="22"/>
          <w:lang w:val="en-GB"/>
        </w:rPr>
        <w:t>i</w:t>
      </w:r>
      <w:proofErr w:type="spellEnd"/>
      <w:r>
        <w:rPr>
          <w:rFonts w:cs="TimesNewRomanPSMT"/>
          <w:color w:val="000000" w:themeColor="text1"/>
          <w:sz w:val="22"/>
          <w:szCs w:val="22"/>
          <w:lang w:val="en-GB"/>
        </w:rPr>
        <w:t xml:space="preserve">) download, extract and index information from the Journals for the purpose of enhanced navigation of the Journals and (ii) extract semantic entities from the Journals for the purpose of recognition and classification of the relations between them and (iii) derive patterns within the Journals and (iv) evaluate and interpret the TDM output. IOP excludes any warranty regarding the quality of the metadata, formatting and errors or omissions. The data (full text) must be delivered without a format identical </w:t>
      </w:r>
      <w:r>
        <w:rPr>
          <w:rFonts w:cs="TimesNewRomanPSMT"/>
          <w:color w:val="000000"/>
          <w:sz w:val="22"/>
          <w:szCs w:val="22"/>
          <w:lang w:val="en-GB"/>
        </w:rPr>
        <w:t>to that exposed on the IOP</w:t>
      </w:r>
      <w:r>
        <w:rPr>
          <w:rFonts w:cs="TimesNewRomanPSMT"/>
          <w:sz w:val="22"/>
          <w:szCs w:val="22"/>
          <w:lang w:val="en-GB"/>
        </w:rPr>
        <w:t xml:space="preserve"> website.</w:t>
      </w:r>
    </w:p>
    <w:p>
      <w:pPr>
        <w:autoSpaceDE w:val="0"/>
        <w:autoSpaceDN w:val="0"/>
        <w:adjustRightInd w:val="0"/>
        <w:jc w:val="both"/>
        <w:rPr>
          <w:rFonts w:cs="TimesNewRomanPSMT"/>
          <w:sz w:val="22"/>
          <w:szCs w:val="22"/>
          <w:lang w:val="en-GB"/>
        </w:rPr>
      </w:pPr>
    </w:p>
    <w:p>
      <w:pPr>
        <w:autoSpaceDE w:val="0"/>
        <w:autoSpaceDN w:val="0"/>
        <w:adjustRightInd w:val="0"/>
        <w:jc w:val="both"/>
        <w:rPr>
          <w:rFonts w:cs="TimesNewRomanPSMT"/>
          <w:sz w:val="22"/>
          <w:szCs w:val="22"/>
        </w:rPr>
      </w:pPr>
      <w:r>
        <w:rPr>
          <w:rFonts w:cs="TimesNewRomanPSMT"/>
          <w:sz w:val="22"/>
          <w:szCs w:val="22"/>
        </w:rPr>
        <w:t>Le Titulaire de Licence abonné peut charger et formater techniquement le contenu sur son serveur ou sur un serveur tiers qui permet aux utilisateurs autorisés d’accéder au contenu à des fins d’exploration de texte et de données et d’utiliser des programmes ou des dispositifs automatisés pour (i) télécharger, extraire et indexer en continu et de manière automatisée les informations du contenu dans le but d’améliorer la navigation dans le contenu et (ii) d’extraire des entités sémantiques du contenu dans le but de reconnaître et de classer les relations entre eux et (iii) dériver des modèles dans le contenu et (iv) évaluer et interpréter les résultats de la GDT. IOP exclut toute garantie concernant la qualité des métadonnées, le formatage, les erreurs ou les omissions. Les données (texte intégral) doivent être livrées dans un format identique à celui présenté sur le site Web d’IOP.</w:t>
      </w:r>
    </w:p>
    <w:p>
      <w:pPr>
        <w:autoSpaceDE w:val="0"/>
        <w:autoSpaceDN w:val="0"/>
        <w:adjustRightInd w:val="0"/>
        <w:jc w:val="both"/>
        <w:rPr>
          <w:rFonts w:cs="TimesNewRomanPSMT"/>
          <w:color w:val="000000" w:themeColor="text1"/>
          <w:sz w:val="22"/>
          <w:szCs w:val="22"/>
        </w:rPr>
      </w:pPr>
    </w:p>
    <w:p>
      <w:pPr>
        <w:autoSpaceDE w:val="0"/>
        <w:autoSpaceDN w:val="0"/>
        <w:adjustRightInd w:val="0"/>
        <w:jc w:val="both"/>
        <w:rPr>
          <w:rFonts w:cs="TimesNewRomanPSMT"/>
          <w:color w:val="000000" w:themeColor="text1"/>
          <w:sz w:val="22"/>
          <w:szCs w:val="22"/>
          <w:lang w:val="en-GB"/>
        </w:rPr>
      </w:pPr>
      <w:r>
        <w:rPr>
          <w:rFonts w:cs="TimesNewRomanPSMT"/>
          <w:color w:val="000000" w:themeColor="text1"/>
          <w:sz w:val="22"/>
          <w:szCs w:val="22"/>
          <w:lang w:val="en-GB"/>
        </w:rPr>
        <w:t>15 - Except as expressly stated in the Licence, or otherwise permitted in writing by IOP, the Eligible Licensees shall not in respect of Text and Data Mining:</w:t>
      </w:r>
    </w:p>
    <w:p>
      <w:pPr>
        <w:autoSpaceDE w:val="0"/>
        <w:autoSpaceDN w:val="0"/>
        <w:adjustRightInd w:val="0"/>
        <w:jc w:val="both"/>
        <w:rPr>
          <w:rFonts w:cs="TimesNewRomanPSMT"/>
          <w:color w:val="000000" w:themeColor="text1"/>
          <w:sz w:val="22"/>
          <w:szCs w:val="22"/>
          <w:lang w:val="en-GB"/>
        </w:rPr>
      </w:pPr>
    </w:p>
    <w:p>
      <w:pPr>
        <w:autoSpaceDE w:val="0"/>
        <w:autoSpaceDN w:val="0"/>
        <w:adjustRightInd w:val="0"/>
        <w:jc w:val="both"/>
        <w:rPr>
          <w:rFonts w:cs="TimesNewRomanPSMT"/>
          <w:color w:val="000000" w:themeColor="text1"/>
          <w:sz w:val="22"/>
          <w:szCs w:val="22"/>
          <w:lang w:val="en-GB"/>
        </w:rPr>
      </w:pPr>
      <w:r>
        <w:rPr>
          <w:rFonts w:cs="TimesNewRomanPSMT"/>
          <w:color w:val="000000" w:themeColor="text1"/>
          <w:sz w:val="22"/>
          <w:szCs w:val="22"/>
          <w:lang w:val="en-GB"/>
        </w:rPr>
        <w:t>15.1 perform systematic or substantive extracting of the Journals for the purposes of creating a product or service for use by third parties;</w:t>
      </w:r>
    </w:p>
    <w:p>
      <w:pPr>
        <w:autoSpaceDE w:val="0"/>
        <w:autoSpaceDN w:val="0"/>
        <w:adjustRightInd w:val="0"/>
        <w:jc w:val="both"/>
        <w:rPr>
          <w:rFonts w:cs="TimesNewRomanPSMT"/>
          <w:color w:val="000000" w:themeColor="text1"/>
          <w:sz w:val="22"/>
          <w:szCs w:val="22"/>
          <w:lang w:val="en-GB"/>
        </w:rPr>
      </w:pPr>
    </w:p>
    <w:p>
      <w:pPr>
        <w:autoSpaceDE w:val="0"/>
        <w:autoSpaceDN w:val="0"/>
        <w:adjustRightInd w:val="0"/>
        <w:jc w:val="both"/>
        <w:rPr>
          <w:rFonts w:cs="TimesNewRomanPSMT"/>
          <w:color w:val="000000" w:themeColor="text1"/>
          <w:sz w:val="22"/>
          <w:szCs w:val="22"/>
          <w:lang w:val="en-GB"/>
        </w:rPr>
      </w:pPr>
      <w:r>
        <w:rPr>
          <w:rFonts w:cs="TimesNewRomanPSMT"/>
          <w:color w:val="000000" w:themeColor="text1"/>
          <w:sz w:val="22"/>
          <w:szCs w:val="22"/>
          <w:lang w:val="en-GB"/>
        </w:rPr>
        <w:t>15.2 utilise the TDM Output to enhance institutional or subject repositories in a way that could</w:t>
      </w:r>
    </w:p>
    <w:p>
      <w:pPr>
        <w:autoSpaceDE w:val="0"/>
        <w:autoSpaceDN w:val="0"/>
        <w:adjustRightInd w:val="0"/>
        <w:jc w:val="both"/>
        <w:rPr>
          <w:rFonts w:cs="TimesNewRomanPSMT"/>
          <w:color w:val="000000" w:themeColor="text1"/>
          <w:sz w:val="22"/>
          <w:szCs w:val="22"/>
          <w:lang w:val="en-GB"/>
        </w:rPr>
      </w:pPr>
      <w:r>
        <w:rPr>
          <w:rFonts w:cs="TimesNewRomanPSMT"/>
          <w:color w:val="000000" w:themeColor="text1"/>
          <w:sz w:val="22"/>
          <w:szCs w:val="22"/>
          <w:lang w:val="en-GB"/>
        </w:rPr>
        <w:t>compete with the value of the final peer reviewed articles in the Journals, or substitute and/or</w:t>
      </w:r>
    </w:p>
    <w:p>
      <w:pPr>
        <w:autoSpaceDE w:val="0"/>
        <w:autoSpaceDN w:val="0"/>
        <w:adjustRightInd w:val="0"/>
        <w:jc w:val="both"/>
        <w:rPr>
          <w:rFonts w:cs="TimesNewRomanPSMT"/>
          <w:color w:val="000000" w:themeColor="text1"/>
          <w:sz w:val="22"/>
          <w:szCs w:val="22"/>
          <w:lang w:val="en-GB"/>
        </w:rPr>
      </w:pPr>
      <w:r>
        <w:rPr>
          <w:rFonts w:cs="TimesNewRomanPSMT"/>
          <w:color w:val="000000" w:themeColor="text1"/>
          <w:sz w:val="22"/>
          <w:szCs w:val="22"/>
          <w:lang w:val="en-GB"/>
        </w:rPr>
        <w:t>replicate any other existing IOP product, service and/or solution;</w:t>
      </w:r>
    </w:p>
    <w:p>
      <w:pPr>
        <w:autoSpaceDE w:val="0"/>
        <w:autoSpaceDN w:val="0"/>
        <w:adjustRightInd w:val="0"/>
        <w:jc w:val="both"/>
        <w:rPr>
          <w:rFonts w:cs="TimesNewRomanPSMT"/>
          <w:color w:val="000000" w:themeColor="text1"/>
          <w:sz w:val="22"/>
          <w:szCs w:val="22"/>
          <w:lang w:val="en-GB"/>
        </w:rPr>
      </w:pPr>
    </w:p>
    <w:p>
      <w:pPr>
        <w:autoSpaceDE w:val="0"/>
        <w:autoSpaceDN w:val="0"/>
        <w:adjustRightInd w:val="0"/>
        <w:jc w:val="both"/>
        <w:rPr>
          <w:rFonts w:cs="TimesNewRomanPSMT"/>
          <w:color w:val="000000"/>
          <w:sz w:val="22"/>
          <w:szCs w:val="22"/>
          <w:lang w:val="en-GB"/>
        </w:rPr>
      </w:pPr>
      <w:r>
        <w:rPr>
          <w:rFonts w:cs="TimesNewRomanPSMT"/>
          <w:color w:val="000000"/>
          <w:sz w:val="22"/>
          <w:szCs w:val="22"/>
          <w:lang w:val="en-GB"/>
        </w:rPr>
        <w:t>15.3 extract, develop or use the Journals in any commercial activity other than for Text and Data Mining;</w:t>
      </w:r>
    </w:p>
    <w:p>
      <w:pPr>
        <w:autoSpaceDE w:val="0"/>
        <w:autoSpaceDN w:val="0"/>
        <w:adjustRightInd w:val="0"/>
        <w:jc w:val="both"/>
        <w:rPr>
          <w:rFonts w:cs="TimesNewRomanPSMT"/>
          <w:color w:val="000000"/>
          <w:sz w:val="22"/>
          <w:szCs w:val="22"/>
          <w:lang w:val="en-GB"/>
        </w:rPr>
      </w:pPr>
    </w:p>
    <w:p>
      <w:pPr>
        <w:autoSpaceDE w:val="0"/>
        <w:autoSpaceDN w:val="0"/>
        <w:adjustRightInd w:val="0"/>
        <w:jc w:val="both"/>
        <w:rPr>
          <w:rFonts w:cs="TimesNewRomanPSMT"/>
          <w:color w:val="000000"/>
          <w:sz w:val="22"/>
          <w:szCs w:val="22"/>
          <w:lang w:val="en-GB"/>
        </w:rPr>
      </w:pPr>
      <w:r>
        <w:rPr>
          <w:rFonts w:cs="TimesNewRomanPSMT"/>
          <w:color w:val="000000"/>
          <w:sz w:val="22"/>
          <w:szCs w:val="22"/>
          <w:lang w:val="en-GB"/>
        </w:rPr>
        <w:t>15.4 abridge, modify, translate or create any derivative work based on the Journals, except to the extent necessary to make it perceptible on a computer screen to Authorised Users;</w:t>
      </w:r>
    </w:p>
    <w:p>
      <w:pPr>
        <w:autoSpaceDE w:val="0"/>
        <w:autoSpaceDN w:val="0"/>
        <w:adjustRightInd w:val="0"/>
        <w:jc w:val="both"/>
        <w:rPr>
          <w:rFonts w:cs="TimesNewRomanPSMT"/>
          <w:color w:val="000000"/>
          <w:sz w:val="22"/>
          <w:szCs w:val="22"/>
          <w:lang w:val="en-GB"/>
        </w:rPr>
      </w:pPr>
    </w:p>
    <w:p>
      <w:pPr>
        <w:autoSpaceDE w:val="0"/>
        <w:autoSpaceDN w:val="0"/>
        <w:adjustRightInd w:val="0"/>
        <w:jc w:val="both"/>
        <w:rPr>
          <w:rFonts w:cs="TimesNewRomanPSMT"/>
          <w:color w:val="000000"/>
          <w:sz w:val="22"/>
          <w:szCs w:val="22"/>
          <w:lang w:val="en-GB"/>
        </w:rPr>
      </w:pPr>
      <w:r>
        <w:rPr>
          <w:rFonts w:cs="TimesNewRomanPSMT"/>
          <w:color w:val="000000"/>
          <w:sz w:val="22"/>
          <w:szCs w:val="22"/>
          <w:lang w:val="en-GB"/>
        </w:rPr>
        <w:t>15.5 use any robots, spiders, crawlers or other automated downloading programs, algorithms or</w:t>
      </w:r>
    </w:p>
    <w:p>
      <w:pPr>
        <w:autoSpaceDE w:val="0"/>
        <w:autoSpaceDN w:val="0"/>
        <w:adjustRightInd w:val="0"/>
        <w:jc w:val="both"/>
        <w:rPr>
          <w:rFonts w:cs="TimesNewRomanPSMT"/>
          <w:color w:val="000000"/>
          <w:sz w:val="22"/>
          <w:szCs w:val="22"/>
          <w:lang w:val="en-GB"/>
        </w:rPr>
      </w:pPr>
      <w:r>
        <w:rPr>
          <w:rFonts w:cs="TimesNewRomanPSMT"/>
          <w:color w:val="000000"/>
          <w:sz w:val="22"/>
          <w:szCs w:val="22"/>
          <w:lang w:val="en-GB"/>
        </w:rPr>
        <w:t>devices to continuously and automatically search, scrape, extract, deep link, index or disrupt the</w:t>
      </w:r>
    </w:p>
    <w:p>
      <w:pPr>
        <w:autoSpaceDE w:val="0"/>
        <w:autoSpaceDN w:val="0"/>
        <w:adjustRightInd w:val="0"/>
        <w:jc w:val="both"/>
        <w:rPr>
          <w:rFonts w:cs="TimesNewRomanPSMT"/>
          <w:color w:val="000000"/>
          <w:sz w:val="22"/>
          <w:szCs w:val="22"/>
          <w:lang w:val="en-GB"/>
        </w:rPr>
      </w:pPr>
      <w:r>
        <w:rPr>
          <w:rFonts w:cs="TimesNewRomanPSMT"/>
          <w:color w:val="000000"/>
          <w:sz w:val="22"/>
          <w:szCs w:val="22"/>
          <w:lang w:val="en-GB"/>
        </w:rPr>
        <w:t>working of the Journals; and/or</w:t>
      </w:r>
    </w:p>
    <w:p>
      <w:pPr>
        <w:autoSpaceDE w:val="0"/>
        <w:autoSpaceDN w:val="0"/>
        <w:adjustRightInd w:val="0"/>
        <w:jc w:val="both"/>
        <w:rPr>
          <w:rFonts w:cs="TimesNewRomanPSMT"/>
          <w:color w:val="000000"/>
          <w:sz w:val="22"/>
          <w:szCs w:val="22"/>
          <w:lang w:val="en-GB"/>
        </w:rPr>
      </w:pPr>
    </w:p>
    <w:p>
      <w:pPr>
        <w:autoSpaceDE w:val="0"/>
        <w:autoSpaceDN w:val="0"/>
        <w:adjustRightInd w:val="0"/>
        <w:jc w:val="both"/>
        <w:rPr>
          <w:rFonts w:cs="TimesNewRomanPSMT"/>
          <w:color w:val="000000"/>
          <w:sz w:val="22"/>
          <w:szCs w:val="22"/>
          <w:lang w:val="en-GB"/>
        </w:rPr>
      </w:pPr>
      <w:r>
        <w:rPr>
          <w:rFonts w:cs="TimesNewRomanPSMT"/>
          <w:color w:val="000000"/>
          <w:sz w:val="22"/>
          <w:szCs w:val="22"/>
          <w:lang w:val="en-GB"/>
        </w:rPr>
        <w:t>15.6 substantially reproduce, retain or redistribute the Journals.</w:t>
      </w:r>
    </w:p>
    <w:p>
      <w:pPr>
        <w:autoSpaceDE w:val="0"/>
        <w:autoSpaceDN w:val="0"/>
        <w:adjustRightInd w:val="0"/>
        <w:jc w:val="both"/>
        <w:rPr>
          <w:rFonts w:cs="TimesNewRomanPSMT"/>
          <w:color w:val="000000"/>
          <w:sz w:val="22"/>
          <w:szCs w:val="22"/>
          <w:lang w:val="en-GB"/>
        </w:rPr>
      </w:pPr>
    </w:p>
    <w:p>
      <w:pPr>
        <w:autoSpaceDE w:val="0"/>
        <w:autoSpaceDN w:val="0"/>
        <w:adjustRightInd w:val="0"/>
        <w:jc w:val="both"/>
        <w:rPr>
          <w:rFonts w:cs="TimesNewRomanPSMT"/>
          <w:sz w:val="22"/>
          <w:szCs w:val="22"/>
        </w:rPr>
      </w:pPr>
      <w:r>
        <w:rPr>
          <w:rFonts w:cs="TimesNewRomanPSMT"/>
          <w:sz w:val="22"/>
          <w:szCs w:val="22"/>
        </w:rPr>
        <w:t>Sauf stipulation expresse dans la licence ou autorisation écrite d’IOP, le Titulaire de Licence abonné ne doit pas dans le cadre de l’exploration de texte et de données :</w:t>
      </w:r>
    </w:p>
    <w:p>
      <w:pPr>
        <w:autoSpaceDE w:val="0"/>
        <w:autoSpaceDN w:val="0"/>
        <w:adjustRightInd w:val="0"/>
        <w:jc w:val="both"/>
        <w:rPr>
          <w:rFonts w:cs="TimesNewRomanPSMT"/>
          <w:sz w:val="22"/>
          <w:szCs w:val="22"/>
        </w:rPr>
      </w:pPr>
    </w:p>
    <w:p>
      <w:pPr>
        <w:pStyle w:val="Paragraphedeliste"/>
        <w:numPr>
          <w:ilvl w:val="0"/>
          <w:numId w:val="1"/>
        </w:numPr>
        <w:autoSpaceDE w:val="0"/>
        <w:autoSpaceDN w:val="0"/>
        <w:adjustRightInd w:val="0"/>
        <w:jc w:val="both"/>
        <w:rPr>
          <w:rFonts w:cs="TimesNewRomanPSMT"/>
          <w:sz w:val="22"/>
          <w:szCs w:val="22"/>
        </w:rPr>
      </w:pPr>
      <w:r>
        <w:rPr>
          <w:rFonts w:cs="TimesNewRomanPSMT"/>
          <w:sz w:val="22"/>
          <w:szCs w:val="22"/>
        </w:rPr>
        <w:t xml:space="preserve"> </w:t>
      </w:r>
      <w:proofErr w:type="gramStart"/>
      <w:r>
        <w:rPr>
          <w:rFonts w:cs="TimesNewRomanPSMT"/>
          <w:sz w:val="22"/>
          <w:szCs w:val="22"/>
        </w:rPr>
        <w:t>effectuer</w:t>
      </w:r>
      <w:proofErr w:type="gramEnd"/>
      <w:r>
        <w:rPr>
          <w:rFonts w:cs="TimesNewRomanPSMT"/>
          <w:sz w:val="22"/>
          <w:szCs w:val="22"/>
        </w:rPr>
        <w:t xml:space="preserve"> une extraction systématique ou substantielle du contenu dans le but de créer un produit ou un service destiné à être utilisé par des tiers;</w:t>
      </w:r>
    </w:p>
    <w:p>
      <w:pPr>
        <w:autoSpaceDE w:val="0"/>
        <w:autoSpaceDN w:val="0"/>
        <w:adjustRightInd w:val="0"/>
        <w:jc w:val="both"/>
        <w:rPr>
          <w:rFonts w:cs="TimesNewRomanPSMT"/>
          <w:sz w:val="22"/>
          <w:szCs w:val="22"/>
        </w:rPr>
      </w:pPr>
    </w:p>
    <w:p>
      <w:pPr>
        <w:pStyle w:val="Paragraphedeliste"/>
        <w:numPr>
          <w:ilvl w:val="0"/>
          <w:numId w:val="1"/>
        </w:numPr>
        <w:autoSpaceDE w:val="0"/>
        <w:autoSpaceDN w:val="0"/>
        <w:adjustRightInd w:val="0"/>
        <w:jc w:val="both"/>
        <w:rPr>
          <w:rFonts w:cs="TimesNewRomanPSMT"/>
          <w:sz w:val="22"/>
          <w:szCs w:val="22"/>
        </w:rPr>
      </w:pPr>
      <w:proofErr w:type="gramStart"/>
      <w:r>
        <w:rPr>
          <w:rFonts w:cs="TimesNewRomanPSMT"/>
          <w:sz w:val="22"/>
          <w:szCs w:val="22"/>
        </w:rPr>
        <w:t>utiliser</w:t>
      </w:r>
      <w:proofErr w:type="gramEnd"/>
      <w:r>
        <w:rPr>
          <w:rFonts w:cs="TimesNewRomanPSMT"/>
          <w:sz w:val="22"/>
          <w:szCs w:val="22"/>
        </w:rPr>
        <w:t xml:space="preserve"> les résultats de TDM pour améliorer les référentiels institutionnels ou thématiques de manière à rivaliser en valeur avec la version finale des articles relus par les pairs, issus du contenu, ou substituer et / ou reproduire tout autre produit, service et / ou solution d’IOP;</w:t>
      </w:r>
    </w:p>
    <w:p>
      <w:pPr>
        <w:autoSpaceDE w:val="0"/>
        <w:autoSpaceDN w:val="0"/>
        <w:adjustRightInd w:val="0"/>
        <w:jc w:val="both"/>
        <w:rPr>
          <w:rFonts w:cs="TimesNewRomanPSMT"/>
          <w:sz w:val="22"/>
          <w:szCs w:val="22"/>
        </w:rPr>
      </w:pPr>
    </w:p>
    <w:p>
      <w:pPr>
        <w:pStyle w:val="Paragraphedeliste"/>
        <w:numPr>
          <w:ilvl w:val="0"/>
          <w:numId w:val="1"/>
        </w:numPr>
        <w:autoSpaceDE w:val="0"/>
        <w:autoSpaceDN w:val="0"/>
        <w:adjustRightInd w:val="0"/>
        <w:jc w:val="both"/>
        <w:rPr>
          <w:rFonts w:cs="TimesNewRomanPSMT"/>
          <w:sz w:val="22"/>
          <w:szCs w:val="22"/>
        </w:rPr>
      </w:pPr>
      <w:proofErr w:type="gramStart"/>
      <w:r>
        <w:rPr>
          <w:rFonts w:cs="TimesNewRomanPSMT"/>
          <w:sz w:val="22"/>
          <w:szCs w:val="22"/>
        </w:rPr>
        <w:t>extraire</w:t>
      </w:r>
      <w:proofErr w:type="gramEnd"/>
      <w:r>
        <w:rPr>
          <w:rFonts w:cs="TimesNewRomanPSMT"/>
          <w:sz w:val="22"/>
          <w:szCs w:val="22"/>
        </w:rPr>
        <w:t>, développer ou utiliser le contenu dans toute activité commerciale autre que pour le TDM :</w:t>
      </w:r>
    </w:p>
    <w:p>
      <w:pPr>
        <w:autoSpaceDE w:val="0"/>
        <w:autoSpaceDN w:val="0"/>
        <w:adjustRightInd w:val="0"/>
        <w:jc w:val="both"/>
        <w:rPr>
          <w:rFonts w:cs="TimesNewRomanPSMT"/>
          <w:sz w:val="22"/>
          <w:szCs w:val="22"/>
        </w:rPr>
      </w:pPr>
    </w:p>
    <w:p>
      <w:pPr>
        <w:pStyle w:val="Paragraphedeliste"/>
        <w:numPr>
          <w:ilvl w:val="0"/>
          <w:numId w:val="1"/>
        </w:numPr>
        <w:autoSpaceDE w:val="0"/>
        <w:autoSpaceDN w:val="0"/>
        <w:adjustRightInd w:val="0"/>
        <w:jc w:val="both"/>
        <w:rPr>
          <w:rFonts w:cs="TimesNewRomanPSMT"/>
          <w:sz w:val="22"/>
          <w:szCs w:val="22"/>
        </w:rPr>
      </w:pPr>
      <w:proofErr w:type="gramStart"/>
      <w:r>
        <w:rPr>
          <w:rFonts w:cs="TimesNewRomanPSMT"/>
          <w:sz w:val="22"/>
          <w:szCs w:val="22"/>
        </w:rPr>
        <w:t>abréger</w:t>
      </w:r>
      <w:proofErr w:type="gramEnd"/>
      <w:r>
        <w:rPr>
          <w:rFonts w:cs="TimesNewRomanPSMT"/>
          <w:sz w:val="22"/>
          <w:szCs w:val="22"/>
        </w:rPr>
        <w:t>, modifier, traduire ou créer tout travail dérivé basé sur le contenu, sauf pour le rendre perceptible sur un écran d’ordinateur aux utilisateurs autorisés;</w:t>
      </w:r>
    </w:p>
    <w:p>
      <w:pPr>
        <w:autoSpaceDE w:val="0"/>
        <w:autoSpaceDN w:val="0"/>
        <w:adjustRightInd w:val="0"/>
        <w:jc w:val="both"/>
        <w:rPr>
          <w:rFonts w:cs="TimesNewRomanPSMT"/>
          <w:sz w:val="22"/>
          <w:szCs w:val="22"/>
        </w:rPr>
      </w:pPr>
    </w:p>
    <w:p>
      <w:pPr>
        <w:pStyle w:val="Paragraphedeliste"/>
        <w:numPr>
          <w:ilvl w:val="0"/>
          <w:numId w:val="1"/>
        </w:numPr>
        <w:autoSpaceDE w:val="0"/>
        <w:autoSpaceDN w:val="0"/>
        <w:adjustRightInd w:val="0"/>
        <w:jc w:val="both"/>
        <w:rPr>
          <w:rFonts w:cs="TimesNewRomanPSMT"/>
          <w:sz w:val="22"/>
          <w:szCs w:val="22"/>
        </w:rPr>
      </w:pPr>
      <w:proofErr w:type="gramStart"/>
      <w:r>
        <w:rPr>
          <w:rFonts w:cs="TimesNewRomanPSMT"/>
          <w:sz w:val="22"/>
          <w:szCs w:val="22"/>
        </w:rPr>
        <w:t>utiliser</w:t>
      </w:r>
      <w:proofErr w:type="gramEnd"/>
      <w:r>
        <w:rPr>
          <w:rFonts w:cs="TimesNewRomanPSMT"/>
          <w:sz w:val="22"/>
          <w:szCs w:val="22"/>
        </w:rPr>
        <w:t xml:space="preserve"> des robots, des collecteurs ou d’autres programmes de téléchargement automatisés, algorithmes ou dispositifs permettant de rechercher, de moissonner, d’extraire, de lier en profondeur, d’indexer ou de perturber le fonctionnement du contenu; et / ou</w:t>
      </w:r>
    </w:p>
    <w:p>
      <w:pPr>
        <w:autoSpaceDE w:val="0"/>
        <w:autoSpaceDN w:val="0"/>
        <w:adjustRightInd w:val="0"/>
        <w:jc w:val="both"/>
        <w:rPr>
          <w:rFonts w:cs="TimesNewRomanPSMT"/>
          <w:sz w:val="22"/>
          <w:szCs w:val="22"/>
        </w:rPr>
      </w:pPr>
    </w:p>
    <w:p>
      <w:pPr>
        <w:pStyle w:val="Paragraphedeliste"/>
        <w:numPr>
          <w:ilvl w:val="0"/>
          <w:numId w:val="1"/>
        </w:numPr>
        <w:autoSpaceDE w:val="0"/>
        <w:autoSpaceDN w:val="0"/>
        <w:adjustRightInd w:val="0"/>
        <w:jc w:val="both"/>
        <w:rPr>
          <w:rFonts w:cs="TimesNewRomanPSMT"/>
          <w:sz w:val="22"/>
          <w:szCs w:val="22"/>
        </w:rPr>
      </w:pPr>
      <w:proofErr w:type="gramStart"/>
      <w:r>
        <w:rPr>
          <w:rFonts w:cs="TimesNewRomanPSMT"/>
          <w:sz w:val="22"/>
          <w:szCs w:val="22"/>
        </w:rPr>
        <w:t>reproduire</w:t>
      </w:r>
      <w:proofErr w:type="gramEnd"/>
      <w:r>
        <w:rPr>
          <w:rFonts w:cs="TimesNewRomanPSMT"/>
          <w:sz w:val="22"/>
          <w:szCs w:val="22"/>
        </w:rPr>
        <w:t>, conserver ou redistribuer le contenu de manière substantielle.</w:t>
      </w:r>
    </w:p>
    <w:p>
      <w:pPr>
        <w:autoSpaceDE w:val="0"/>
        <w:autoSpaceDN w:val="0"/>
        <w:adjustRightInd w:val="0"/>
        <w:jc w:val="both"/>
        <w:rPr>
          <w:rFonts w:cs="TimesNewRomanPSMT"/>
          <w:color w:val="000000"/>
          <w:sz w:val="22"/>
          <w:szCs w:val="22"/>
        </w:rPr>
      </w:pPr>
    </w:p>
    <w:p>
      <w:pPr>
        <w:autoSpaceDE w:val="0"/>
        <w:autoSpaceDN w:val="0"/>
        <w:adjustRightInd w:val="0"/>
        <w:jc w:val="both"/>
        <w:rPr>
          <w:rFonts w:cs="TimesNewRomanPSMT"/>
          <w:color w:val="000000"/>
          <w:sz w:val="22"/>
          <w:szCs w:val="22"/>
          <w:lang w:val="en-GB"/>
        </w:rPr>
      </w:pPr>
      <w:r>
        <w:rPr>
          <w:rFonts w:cs="TimesNewRomanPSMT"/>
          <w:color w:val="000000"/>
          <w:sz w:val="22"/>
          <w:szCs w:val="22"/>
          <w:lang w:val="en-GB"/>
        </w:rPr>
        <w:t>16 - Authorised Users are free to use the TDM Output and any database rights created as a result of Text and Data Mining activities are the sole property of the Authorised Users.</w:t>
      </w:r>
    </w:p>
    <w:p>
      <w:pPr>
        <w:autoSpaceDE w:val="0"/>
        <w:autoSpaceDN w:val="0"/>
        <w:adjustRightInd w:val="0"/>
        <w:jc w:val="both"/>
        <w:rPr>
          <w:rFonts w:cs="TimesNewRomanPSMT"/>
          <w:sz w:val="22"/>
          <w:szCs w:val="22"/>
          <w:lang w:val="en-GB"/>
        </w:rPr>
      </w:pPr>
    </w:p>
    <w:p>
      <w:pPr>
        <w:autoSpaceDE w:val="0"/>
        <w:autoSpaceDN w:val="0"/>
        <w:adjustRightInd w:val="0"/>
        <w:jc w:val="both"/>
        <w:rPr>
          <w:rFonts w:cs="TimesNewRomanPSMT"/>
          <w:sz w:val="22"/>
          <w:szCs w:val="22"/>
        </w:rPr>
      </w:pPr>
      <w:r>
        <w:rPr>
          <w:rFonts w:cs="TimesNewRomanPSMT"/>
          <w:sz w:val="22"/>
          <w:szCs w:val="22"/>
        </w:rPr>
        <w:t>Les utilisateurs autorisés sont libres d’utiliser le produit de la fouille et tous droits attachés aux bases de données créées par des activités de TDM, appartiennent exclusivement aux utilisateurs autorisés.</w:t>
      </w:r>
    </w:p>
    <w:p>
      <w:pPr>
        <w:autoSpaceDE w:val="0"/>
        <w:autoSpaceDN w:val="0"/>
        <w:adjustRightInd w:val="0"/>
        <w:rPr>
          <w:rFonts w:cs="TimesNewRomanPSMT"/>
          <w:color w:val="000000"/>
          <w:sz w:val="22"/>
          <w:szCs w:val="22"/>
        </w:rPr>
      </w:pPr>
    </w:p>
    <w:p>
      <w:pPr>
        <w:autoSpaceDE w:val="0"/>
        <w:autoSpaceDN w:val="0"/>
        <w:adjustRightInd w:val="0"/>
        <w:jc w:val="both"/>
        <w:rPr>
          <w:rFonts w:cs="TimesNewRomanPSMT"/>
          <w:color w:val="000000"/>
          <w:sz w:val="22"/>
          <w:szCs w:val="22"/>
          <w:lang w:val="en-GB"/>
        </w:rPr>
      </w:pPr>
      <w:r>
        <w:rPr>
          <w:rFonts w:cs="TimesNewRomanPSMT"/>
          <w:color w:val="000000"/>
          <w:sz w:val="22"/>
          <w:szCs w:val="22"/>
          <w:lang w:val="en-GB"/>
        </w:rPr>
        <w:t xml:space="preserve">Any rights of the Eligible Licensees to carry out Text and Data Mining of the Journals shall only apply whilst the Licence is in force and, upon termination of the Licence for any reason, those rights shall cease automatically save in so far as they relate to any Journals in which the Licensee has continued access rights under the Licence.  Accordingly, upon termination, the Licensee shall delete from its and all </w:t>
      </w:r>
      <w:proofErr w:type="gramStart"/>
      <w:r>
        <w:rPr>
          <w:rFonts w:cs="TimesNewRomanPSMT"/>
          <w:color w:val="000000"/>
          <w:sz w:val="22"/>
          <w:szCs w:val="22"/>
          <w:lang w:val="en-GB"/>
        </w:rPr>
        <w:t>third party</w:t>
      </w:r>
      <w:proofErr w:type="gramEnd"/>
      <w:r>
        <w:rPr>
          <w:rFonts w:cs="TimesNewRomanPSMT"/>
          <w:color w:val="000000"/>
          <w:sz w:val="22"/>
          <w:szCs w:val="22"/>
          <w:lang w:val="en-GB"/>
        </w:rPr>
        <w:t xml:space="preserve"> servers all other Journals that it has stored for Text and Data Mining, unless necessary for purposes of reproducibility.</w:t>
      </w:r>
    </w:p>
    <w:p>
      <w:pPr>
        <w:autoSpaceDE w:val="0"/>
        <w:autoSpaceDN w:val="0"/>
        <w:adjustRightInd w:val="0"/>
        <w:jc w:val="both"/>
        <w:rPr>
          <w:rFonts w:cs="TimesNewRomanPSMT"/>
          <w:color w:val="000000"/>
          <w:sz w:val="22"/>
          <w:szCs w:val="22"/>
          <w:lang w:val="en-GB"/>
        </w:rPr>
      </w:pPr>
    </w:p>
    <w:p>
      <w:pPr>
        <w:autoSpaceDE w:val="0"/>
        <w:autoSpaceDN w:val="0"/>
        <w:adjustRightInd w:val="0"/>
        <w:jc w:val="both"/>
        <w:rPr>
          <w:rFonts w:cs="TimesNewRomanPSMT"/>
          <w:sz w:val="22"/>
          <w:szCs w:val="22"/>
        </w:rPr>
      </w:pPr>
      <w:r>
        <w:rPr>
          <w:rFonts w:cs="TimesNewRomanPSMT"/>
          <w:sz w:val="22"/>
          <w:szCs w:val="22"/>
        </w:rPr>
        <w:t>Tous les droits du Titulaire de Licence abonné d’opérer du TDP sur le contenu doivent s’appliquer uniquement tant que la licence est en vigueur et, lors de la résiliation de la licence pour quelque raison que ce soit, ces droits cessent automatiquement sauf dans la mesure où ils se rapportent à un Contenu pour lequel le Titulaire de Licence a des droits d’accès continu en vertu de la licence. En conséquence, lors de la résiliation, le Titulaire de Licence devra supprimer, à partir de ses serveurs et de tous les serveurs tiers, tout autre contenu stocké pour l’exploration de texte et de données, sauf si cela est nécessaire à des fins de reproductibilité.</w:t>
      </w:r>
    </w:p>
    <w:p>
      <w:pPr>
        <w:jc w:val="both"/>
        <w:rPr>
          <w:sz w:val="22"/>
          <w:szCs w:val="22"/>
        </w:rPr>
      </w:pPr>
    </w:p>
    <w:p>
      <w:pPr>
        <w:jc w:val="both"/>
        <w:rPr>
          <w:b/>
          <w:sz w:val="22"/>
          <w:szCs w:val="22"/>
          <w:lang w:val="en-GB"/>
        </w:rPr>
      </w:pPr>
      <w:r>
        <w:rPr>
          <w:b/>
          <w:sz w:val="22"/>
          <w:szCs w:val="22"/>
          <w:lang w:val="en-GB"/>
        </w:rPr>
        <w:t>Fees</w:t>
      </w:r>
    </w:p>
    <w:p>
      <w:pPr>
        <w:jc w:val="both"/>
        <w:rPr>
          <w:b/>
          <w:sz w:val="22"/>
          <w:szCs w:val="22"/>
          <w:lang w:val="en-GB"/>
        </w:rPr>
      </w:pPr>
      <w:r>
        <w:rPr>
          <w:b/>
          <w:sz w:val="22"/>
          <w:szCs w:val="22"/>
          <w:lang w:val="en-GB"/>
        </w:rPr>
        <w:t>Droits de licence</w:t>
      </w:r>
    </w:p>
    <w:p>
      <w:pPr>
        <w:spacing w:before="100" w:beforeAutospacing="1" w:after="100" w:afterAutospacing="1"/>
        <w:ind w:left="720" w:right="-199" w:hanging="294"/>
        <w:jc w:val="both"/>
        <w:rPr>
          <w:sz w:val="22"/>
          <w:szCs w:val="22"/>
          <w:lang w:val="en-GB"/>
        </w:rPr>
      </w:pPr>
      <w:r>
        <w:rPr>
          <w:sz w:val="22"/>
          <w:szCs w:val="22"/>
          <w:lang w:val="en-GB"/>
        </w:rPr>
        <w:t>17</w:t>
      </w:r>
      <w:r>
        <w:rPr>
          <w:sz w:val="22"/>
          <w:szCs w:val="22"/>
          <w:lang w:val="en-GB"/>
        </w:rPr>
        <w:tab/>
        <w:t xml:space="preserve">The fee payable by the Licensee for 2022-2024 inclusive shall be as specified in Schedule 2, and in the </w:t>
      </w:r>
      <w:proofErr w:type="spellStart"/>
      <w:r>
        <w:rPr>
          <w:sz w:val="22"/>
          <w:szCs w:val="22"/>
          <w:lang w:val="en-GB"/>
        </w:rPr>
        <w:t>Acte</w:t>
      </w:r>
      <w:proofErr w:type="spellEnd"/>
      <w:r>
        <w:rPr>
          <w:sz w:val="22"/>
          <w:szCs w:val="22"/>
          <w:lang w:val="en-GB"/>
        </w:rPr>
        <w:t xml:space="preserve"> </w:t>
      </w:r>
      <w:proofErr w:type="spellStart"/>
      <w:r>
        <w:rPr>
          <w:sz w:val="22"/>
          <w:szCs w:val="22"/>
          <w:lang w:val="en-GB"/>
        </w:rPr>
        <w:t>d’Engagement</w:t>
      </w:r>
      <w:proofErr w:type="spellEnd"/>
      <w:r>
        <w:rPr>
          <w:sz w:val="22"/>
          <w:szCs w:val="22"/>
          <w:lang w:val="en-GB"/>
        </w:rPr>
        <w:t>.  All fees due under this Licence shall be payable by the Licensee within 30 days of the date of invoice.</w:t>
      </w:r>
    </w:p>
    <w:p>
      <w:pPr>
        <w:spacing w:before="28" w:after="28"/>
        <w:ind w:left="720" w:right="-199" w:hanging="720"/>
        <w:jc w:val="both"/>
        <w:rPr>
          <w:sz w:val="22"/>
          <w:szCs w:val="22"/>
        </w:rPr>
      </w:pPr>
      <w:r>
        <w:rPr>
          <w:sz w:val="22"/>
          <w:szCs w:val="22"/>
          <w:lang w:val="en-GB"/>
        </w:rPr>
        <w:lastRenderedPageBreak/>
        <w:tab/>
      </w:r>
      <w:r>
        <w:rPr>
          <w:sz w:val="22"/>
          <w:szCs w:val="22"/>
        </w:rPr>
        <w:t xml:space="preserve">Les Droits de licence à payer par le Titulaire de Licence pour </w:t>
      </w:r>
      <w:r>
        <w:rPr>
          <w:bCs/>
          <w:sz w:val="22"/>
          <w:szCs w:val="22"/>
        </w:rPr>
        <w:t xml:space="preserve">2022-2024 </w:t>
      </w:r>
      <w:r>
        <w:rPr>
          <w:sz w:val="22"/>
          <w:szCs w:val="22"/>
        </w:rPr>
        <w:t xml:space="preserve">sont indiqués à l’Annexe 2, et dans l’Acte d’engagement.  L’ensemble des Droits de licence </w:t>
      </w:r>
      <w:proofErr w:type="spellStart"/>
      <w:r>
        <w:rPr>
          <w:sz w:val="22"/>
          <w:szCs w:val="22"/>
        </w:rPr>
        <w:t>dûs</w:t>
      </w:r>
      <w:proofErr w:type="spellEnd"/>
      <w:r>
        <w:rPr>
          <w:sz w:val="22"/>
          <w:szCs w:val="22"/>
        </w:rPr>
        <w:t xml:space="preserve"> en vertu de la présente Licence doit être payé par le Titulaire de Licence sous 30 jours à compter de la date la facture.</w:t>
      </w:r>
    </w:p>
    <w:p>
      <w:pPr>
        <w:spacing w:before="100" w:beforeAutospacing="1" w:after="100" w:afterAutospacing="1"/>
        <w:ind w:left="720" w:right="-199" w:hanging="294"/>
        <w:jc w:val="both"/>
        <w:rPr>
          <w:sz w:val="22"/>
          <w:szCs w:val="22"/>
          <w:lang w:val="en-GB"/>
        </w:rPr>
      </w:pPr>
      <w:r>
        <w:rPr>
          <w:sz w:val="22"/>
          <w:szCs w:val="22"/>
          <w:lang w:val="en-GB"/>
        </w:rPr>
        <w:t>18</w:t>
      </w:r>
      <w:r>
        <w:rPr>
          <w:sz w:val="22"/>
          <w:szCs w:val="22"/>
          <w:lang w:val="en-GB"/>
        </w:rPr>
        <w:tab/>
        <w:t>All sums specified are exclusive of sales taxes (where applicable) which shall be paid by the Licensee on presentation of an appropriate tax invoice or other appropriate claims document.</w:t>
      </w:r>
    </w:p>
    <w:p>
      <w:pPr>
        <w:spacing w:before="28" w:after="28"/>
        <w:ind w:left="720" w:right="-199" w:hanging="720"/>
        <w:jc w:val="both"/>
        <w:rPr>
          <w:sz w:val="22"/>
          <w:szCs w:val="22"/>
        </w:rPr>
      </w:pPr>
      <w:r>
        <w:rPr>
          <w:sz w:val="22"/>
          <w:szCs w:val="22"/>
          <w:lang w:val="en-GB"/>
        </w:rPr>
        <w:tab/>
      </w:r>
      <w:r>
        <w:rPr>
          <w:sz w:val="22"/>
          <w:szCs w:val="22"/>
        </w:rPr>
        <w:t>Tous les montants indiqués sont hors taxes (le cas échéant).  Ces taxes seront payées par le Titulaire de Licence sur présentation d’une facture faisant ressortir le montant des taxes, ou de tout document de déclaration approprié.</w:t>
      </w:r>
    </w:p>
    <w:p>
      <w:pPr>
        <w:jc w:val="both"/>
        <w:rPr>
          <w:color w:val="FF0000"/>
          <w:sz w:val="22"/>
          <w:szCs w:val="22"/>
        </w:rPr>
      </w:pPr>
    </w:p>
    <w:p>
      <w:pPr>
        <w:jc w:val="both"/>
        <w:rPr>
          <w:b/>
          <w:sz w:val="22"/>
          <w:szCs w:val="22"/>
          <w:lang w:val="en-GB"/>
        </w:rPr>
      </w:pPr>
      <w:r>
        <w:rPr>
          <w:b/>
          <w:sz w:val="22"/>
          <w:szCs w:val="22"/>
          <w:lang w:val="en-GB"/>
        </w:rPr>
        <w:t>Withdrawal of the Journals</w:t>
      </w:r>
    </w:p>
    <w:p>
      <w:pPr>
        <w:spacing w:before="28" w:after="28"/>
        <w:ind w:left="720" w:right="-199" w:hanging="720"/>
        <w:jc w:val="both"/>
        <w:rPr>
          <w:b/>
          <w:sz w:val="22"/>
          <w:szCs w:val="22"/>
          <w:lang w:val="en-GB"/>
        </w:rPr>
      </w:pPr>
      <w:proofErr w:type="spellStart"/>
      <w:r>
        <w:rPr>
          <w:b/>
          <w:sz w:val="22"/>
          <w:szCs w:val="22"/>
          <w:lang w:val="en-GB"/>
        </w:rPr>
        <w:t>Retrait</w:t>
      </w:r>
      <w:proofErr w:type="spellEnd"/>
      <w:r>
        <w:rPr>
          <w:b/>
          <w:sz w:val="22"/>
          <w:szCs w:val="22"/>
          <w:lang w:val="en-GB"/>
        </w:rPr>
        <w:t xml:space="preserve"> de publications</w:t>
      </w:r>
    </w:p>
    <w:p>
      <w:pPr>
        <w:spacing w:before="100" w:beforeAutospacing="1" w:after="100" w:afterAutospacing="1"/>
        <w:ind w:left="720" w:right="-199" w:hanging="294"/>
        <w:jc w:val="both"/>
        <w:outlineLvl w:val="2"/>
        <w:rPr>
          <w:sz w:val="22"/>
          <w:szCs w:val="22"/>
          <w:lang w:val="en-GB"/>
        </w:rPr>
      </w:pPr>
      <w:bookmarkStart w:id="4" w:name="_Hlk22717980"/>
      <w:r>
        <w:rPr>
          <w:sz w:val="22"/>
          <w:szCs w:val="22"/>
          <w:lang w:val="en-GB"/>
        </w:rPr>
        <w:t>19</w:t>
      </w:r>
      <w:r>
        <w:rPr>
          <w:sz w:val="22"/>
          <w:szCs w:val="22"/>
          <w:lang w:val="en-GB"/>
        </w:rPr>
        <w:tab/>
        <w:t xml:space="preserve">IOP reserves the right at any time to withdraw any of the Journal(s) (or part) from the Service if it no longer retains the right to publish or ceases, for whatever reason, to publish or to distribute such Journal(s) or if, in its sole discretion, it believes that such Journal(s) contains any material which infringes copyright or is defamatory, obscene, unlawful or otherwise objectionable.  The Licensee will be made aware of changes to the lists of titles in Schedule 3 by IOP providing </w:t>
      </w:r>
      <w:r>
        <w:rPr>
          <w:rStyle w:val="MachinecrireHTML"/>
          <w:rFonts w:ascii="Times New Roman" w:hAnsi="Times New Roman" w:cs="Times New Roman"/>
          <w:sz w:val="22"/>
          <w:szCs w:val="22"/>
          <w:lang w:val="en-GB"/>
        </w:rPr>
        <w:t>details of title information to the Licensee in accordance with the</w:t>
      </w:r>
      <w:r>
        <w:rPr>
          <w:sz w:val="22"/>
          <w:szCs w:val="22"/>
          <w:lang w:val="en-GB"/>
        </w:rPr>
        <w:t xml:space="preserve"> </w:t>
      </w:r>
      <w:r>
        <w:rPr>
          <w:rStyle w:val="MachinecrireHTML"/>
          <w:rFonts w:ascii="Times New Roman" w:hAnsi="Times New Roman" w:cs="Times New Roman"/>
          <w:sz w:val="22"/>
          <w:szCs w:val="22"/>
          <w:lang w:val="en-GB"/>
        </w:rPr>
        <w:t>most current KBART standard</w:t>
      </w:r>
      <w:r>
        <w:rPr>
          <w:sz w:val="22"/>
          <w:szCs w:val="22"/>
          <w:lang w:val="en-GB"/>
        </w:rPr>
        <w:t>.</w:t>
      </w:r>
    </w:p>
    <w:p>
      <w:pPr>
        <w:spacing w:before="28" w:after="28"/>
        <w:ind w:left="720" w:right="-199" w:hanging="720"/>
        <w:jc w:val="both"/>
        <w:rPr>
          <w:sz w:val="22"/>
          <w:szCs w:val="22"/>
        </w:rPr>
      </w:pPr>
      <w:r>
        <w:rPr>
          <w:sz w:val="22"/>
          <w:szCs w:val="22"/>
          <w:lang w:val="en-GB"/>
        </w:rPr>
        <w:tab/>
      </w:r>
      <w:r>
        <w:rPr>
          <w:sz w:val="22"/>
          <w:szCs w:val="22"/>
        </w:rPr>
        <w:t xml:space="preserve">IOP se réserve le droit de retirer à tout moment tout ou partie d’une publication du Service s’il n’en détient plus le droit de publication, ou cesse, pour quelque raison que ce soit, de publier ou de distribuer cette publication si, à sa seule discrétion, IOP estime que le contenu de cette publication enfreint le droit d’auteur, ou est diffamatoire, obscène, illégal ou répréhensible.  Afin que le Titulaire de Licence puisse être informé en temps réel des variations intervenues dans les listes des Publications IOP Standard et </w:t>
      </w:r>
      <w:proofErr w:type="spellStart"/>
      <w:r>
        <w:rPr>
          <w:sz w:val="22"/>
          <w:szCs w:val="22"/>
        </w:rPr>
        <w:t>IOPscience</w:t>
      </w:r>
      <w:proofErr w:type="spellEnd"/>
      <w:r>
        <w:rPr>
          <w:sz w:val="22"/>
          <w:szCs w:val="22"/>
        </w:rPr>
        <w:t xml:space="preserve"> extra Complete, des fichiers KBART seront mis à disposition du Titulaire de Licence par IOP.</w:t>
      </w:r>
    </w:p>
    <w:p>
      <w:pPr>
        <w:spacing w:before="100" w:beforeAutospacing="1" w:after="100" w:afterAutospacing="1"/>
        <w:ind w:left="720" w:right="-199" w:hanging="294"/>
        <w:jc w:val="both"/>
        <w:outlineLvl w:val="2"/>
        <w:rPr>
          <w:color w:val="000000" w:themeColor="text1"/>
          <w:sz w:val="22"/>
          <w:szCs w:val="22"/>
          <w:lang w:val="en-GB"/>
        </w:rPr>
      </w:pPr>
      <w:bookmarkStart w:id="5" w:name="_Hlk22718005"/>
      <w:r>
        <w:rPr>
          <w:color w:val="000000" w:themeColor="text1"/>
          <w:sz w:val="22"/>
          <w:szCs w:val="22"/>
          <w:lang w:val="en-GB"/>
        </w:rPr>
        <w:t>20</w:t>
      </w:r>
      <w:r>
        <w:rPr>
          <w:color w:val="000000" w:themeColor="text1"/>
          <w:sz w:val="22"/>
          <w:szCs w:val="22"/>
          <w:lang w:val="en-GB"/>
        </w:rPr>
        <w:tab/>
      </w:r>
      <w:bookmarkStart w:id="6" w:name="_Hlk22653353"/>
      <w:r>
        <w:rPr>
          <w:color w:val="000000" w:themeColor="text1"/>
          <w:sz w:val="22"/>
          <w:szCs w:val="22"/>
          <w:lang w:val="en-GB"/>
        </w:rPr>
        <w:t>If any Journal(s) is withdrawn, IOP will give the Licensee written notice and, where applicable, will substitute it with another journal which is not currently included as part of the Journals. This journal should not be a full open access journal.</w:t>
      </w:r>
      <w:r>
        <w:rPr>
          <w:rFonts w:ascii="Calibri" w:hAnsi="Calibri"/>
          <w:color w:val="000000" w:themeColor="text1"/>
          <w:sz w:val="22"/>
          <w:szCs w:val="22"/>
          <w:lang w:val="en-GB" w:eastAsia="en-US"/>
        </w:rPr>
        <w:t xml:space="preserve"> </w:t>
      </w:r>
      <w:r>
        <w:rPr>
          <w:color w:val="000000" w:themeColor="text1"/>
          <w:sz w:val="22"/>
          <w:szCs w:val="22"/>
          <w:lang w:val="en-GB"/>
        </w:rPr>
        <w:t>If it does not substitute that Journal with another journal then IOP will reduce the fee for that calendar year by a sum equivalent to the contribution of the withdrawn content to the total fee, pro-rated.  IOP shall be entitled to off-set any reduction owing to the Licensee against any amounts owed to IOP by the Licensee under any agreement between the parties.</w:t>
      </w:r>
      <w:bookmarkEnd w:id="6"/>
    </w:p>
    <w:p>
      <w:pPr>
        <w:spacing w:before="28" w:after="28"/>
        <w:ind w:left="720" w:right="-199" w:hanging="11"/>
        <w:jc w:val="both"/>
        <w:rPr>
          <w:color w:val="000000" w:themeColor="text1"/>
          <w:sz w:val="22"/>
          <w:szCs w:val="22"/>
        </w:rPr>
      </w:pPr>
      <w:r>
        <w:rPr>
          <w:color w:val="000000" w:themeColor="text1"/>
          <w:sz w:val="22"/>
          <w:szCs w:val="22"/>
        </w:rPr>
        <w:t xml:space="preserve">Si un ou plusieurs journaux sont retirés, IOP en avertira le titulaire par écrit et, le cas échéant, le remplacera par un autre journal qui ne figure pas actuellement dans les journaux. Ce journal ne devra pas être publié intégralement en open </w:t>
      </w:r>
      <w:proofErr w:type="spellStart"/>
      <w:r>
        <w:rPr>
          <w:color w:val="000000" w:themeColor="text1"/>
          <w:sz w:val="22"/>
          <w:szCs w:val="22"/>
        </w:rPr>
        <w:t>access</w:t>
      </w:r>
      <w:proofErr w:type="spellEnd"/>
      <w:r>
        <w:rPr>
          <w:color w:val="000000" w:themeColor="text1"/>
          <w:sz w:val="22"/>
          <w:szCs w:val="22"/>
        </w:rPr>
        <w:t>. S’il ne substitue pas ce journal à un autre journal, IOP réduira les frais pour cette année civile d’un montant équivalent à la contribution du contenu retiré au total des frais, calculée au prorata. IOP aura le droit de compenser toute réduction due au titulaire de la licence par rapport aux montants qui lui sont dus par le Titulaire de Licence en vertu de tout accord entre les parties.</w:t>
      </w:r>
    </w:p>
    <w:bookmarkEnd w:id="4"/>
    <w:p>
      <w:pPr>
        <w:jc w:val="both"/>
        <w:rPr>
          <w:color w:val="FF0000"/>
          <w:sz w:val="22"/>
          <w:szCs w:val="22"/>
        </w:rPr>
      </w:pPr>
    </w:p>
    <w:bookmarkEnd w:id="5"/>
    <w:p>
      <w:pPr>
        <w:jc w:val="both"/>
        <w:rPr>
          <w:b/>
          <w:sz w:val="22"/>
          <w:szCs w:val="22"/>
          <w:lang w:val="en-GB"/>
        </w:rPr>
      </w:pPr>
      <w:r>
        <w:rPr>
          <w:b/>
          <w:sz w:val="22"/>
          <w:szCs w:val="22"/>
          <w:lang w:val="en-GB"/>
        </w:rPr>
        <w:t>Availability of the Journals</w:t>
      </w:r>
    </w:p>
    <w:p>
      <w:pPr>
        <w:jc w:val="both"/>
        <w:rPr>
          <w:b/>
          <w:sz w:val="22"/>
          <w:szCs w:val="22"/>
          <w:lang w:val="en-GB"/>
        </w:rPr>
      </w:pPr>
      <w:proofErr w:type="spellStart"/>
      <w:r>
        <w:rPr>
          <w:b/>
          <w:sz w:val="22"/>
          <w:szCs w:val="22"/>
          <w:lang w:val="en-GB"/>
        </w:rPr>
        <w:t>Disponibilité</w:t>
      </w:r>
      <w:proofErr w:type="spellEnd"/>
      <w:r>
        <w:rPr>
          <w:b/>
          <w:sz w:val="22"/>
          <w:szCs w:val="22"/>
          <w:lang w:val="en-GB"/>
        </w:rPr>
        <w:t xml:space="preserve"> des publications</w:t>
      </w:r>
    </w:p>
    <w:p>
      <w:pPr>
        <w:spacing w:before="100" w:beforeAutospacing="1" w:after="100" w:afterAutospacing="1"/>
        <w:ind w:left="720" w:right="-199" w:hanging="294"/>
        <w:jc w:val="both"/>
        <w:rPr>
          <w:sz w:val="22"/>
          <w:szCs w:val="22"/>
          <w:lang w:val="en-GB"/>
        </w:rPr>
      </w:pPr>
      <w:r>
        <w:rPr>
          <w:sz w:val="22"/>
          <w:szCs w:val="22"/>
          <w:lang w:val="en-GB"/>
        </w:rPr>
        <w:t>21</w:t>
      </w:r>
      <w:r>
        <w:rPr>
          <w:sz w:val="22"/>
          <w:szCs w:val="22"/>
          <w:lang w:val="en-GB"/>
        </w:rPr>
        <w:tab/>
        <w:t xml:space="preserve">IOP will use its reasonable endeavours to make the Journals available on a </w:t>
      </w:r>
      <w:proofErr w:type="gramStart"/>
      <w:r>
        <w:rPr>
          <w:sz w:val="22"/>
          <w:szCs w:val="22"/>
          <w:lang w:val="en-GB"/>
        </w:rPr>
        <w:t>24 hour</w:t>
      </w:r>
      <w:proofErr w:type="gramEnd"/>
      <w:r>
        <w:rPr>
          <w:sz w:val="22"/>
          <w:szCs w:val="22"/>
          <w:lang w:val="en-GB"/>
        </w:rPr>
        <w:t xml:space="preserve"> basis, subject to IOP’s right to suspend access in order to carry out routine maintenance, repairs, testing, reconfigurations or upgrades and unavailability caused by circumstances beyond IOP’s reasonable control including, but not limited to, downtime relating to telecommunications lines or any Internet nodes or facilities.  If access is suspended or interrupted, or fault or defect occurs which prevents access, IOP’s liability shall be limited to using all commercially reasonable efforts to </w:t>
      </w:r>
      <w:r>
        <w:rPr>
          <w:sz w:val="22"/>
          <w:szCs w:val="22"/>
          <w:lang w:val="en-GB"/>
        </w:rPr>
        <w:lastRenderedPageBreak/>
        <w:t>restore access as soon as is reasonably practicable.  IOP shall have no other liability in this respect.  IOP shall not be liable for any delay, downtime, transmission error, software or equipment incompatibility, force majeure or any failure of performance beyond its reasonable control.</w:t>
      </w:r>
    </w:p>
    <w:p>
      <w:pPr>
        <w:spacing w:before="28" w:after="28"/>
        <w:ind w:left="720" w:right="-199" w:hanging="720"/>
        <w:jc w:val="both"/>
        <w:rPr>
          <w:sz w:val="22"/>
          <w:szCs w:val="22"/>
        </w:rPr>
      </w:pPr>
      <w:r>
        <w:rPr>
          <w:sz w:val="22"/>
          <w:szCs w:val="22"/>
          <w:lang w:val="en-GB"/>
        </w:rPr>
        <w:tab/>
      </w:r>
      <w:r>
        <w:rPr>
          <w:sz w:val="22"/>
          <w:szCs w:val="22"/>
        </w:rPr>
        <w:t>IOP s’efforcera de rendre les publications disponibles 24h/24, sous réserve de son droit à suspendre l’accès dans le cadre de la maintenance de routine, de réparations, d’essais, de reconfigurations ou de mises à niveau et, en cas d’indisponibilité résultant de circonstances indépendantes de la volonté d’IOP, y compris, sans s’y limiter, les coupures dues aux lignes de télécommunication, des nœuds du réseau Internet ou des équipements.  En cas de suspension ou d’interruption de l’accès, et en cas de défaillance ou de défaut rendant l’accès impossible, IOP devra déployer tous les efforts raisonnables pour rétablir l’accès dans les plus brefs délais.  IOP n’aura pas d’autre responsabilité à cet égard.  IOP ne pourra être tenu responsable de tout retard, coupure, erreur de transmission, incompatibilité informatique ou d’équipement, force majeure ou tout défaut d’exécution indépendant de sa volonté.</w:t>
      </w:r>
    </w:p>
    <w:p>
      <w:pPr>
        <w:spacing w:before="100" w:beforeAutospacing="1" w:after="100" w:afterAutospacing="1"/>
        <w:ind w:left="720" w:right="-199" w:hanging="294"/>
        <w:jc w:val="both"/>
        <w:rPr>
          <w:sz w:val="22"/>
          <w:szCs w:val="22"/>
          <w:lang w:val="en-GB"/>
        </w:rPr>
      </w:pPr>
      <w:r>
        <w:rPr>
          <w:sz w:val="22"/>
          <w:szCs w:val="22"/>
          <w:lang w:val="en-GB"/>
        </w:rPr>
        <w:t>22</w:t>
      </w:r>
      <w:r>
        <w:rPr>
          <w:sz w:val="22"/>
          <w:szCs w:val="22"/>
          <w:lang w:val="en-GB"/>
        </w:rPr>
        <w:tab/>
        <w:t>IOP reserves the right to suspend access for the Licensee to the Journals on detecting a breach of these terms and conditions but will not do so without notifying the Licensee in advance nor without using reasonable efforts to reach a resolution.</w:t>
      </w:r>
    </w:p>
    <w:p>
      <w:pPr>
        <w:spacing w:before="28" w:after="28"/>
        <w:ind w:left="720" w:right="-199"/>
        <w:jc w:val="both"/>
        <w:rPr>
          <w:sz w:val="22"/>
          <w:szCs w:val="22"/>
        </w:rPr>
      </w:pPr>
      <w:r>
        <w:rPr>
          <w:sz w:val="22"/>
          <w:szCs w:val="22"/>
        </w:rPr>
        <w:t>IOP se réserve le droit de suspendre tout accès aux publications au Titulaire de Licence suite à toute violation des présentes conditions générales, mais s’engage à notifier le Titulaire de Licence à l’avance et à déployer des efforts raisonnables pour résoudre la situation.</w:t>
      </w:r>
    </w:p>
    <w:p>
      <w:pPr>
        <w:jc w:val="both"/>
        <w:rPr>
          <w:sz w:val="22"/>
          <w:szCs w:val="22"/>
        </w:rPr>
      </w:pPr>
    </w:p>
    <w:p>
      <w:pPr>
        <w:jc w:val="both"/>
        <w:rPr>
          <w:color w:val="FF0000"/>
          <w:sz w:val="22"/>
          <w:szCs w:val="22"/>
        </w:rPr>
      </w:pPr>
      <w:r>
        <w:rPr>
          <w:color w:val="FF0000"/>
          <w:sz w:val="22"/>
          <w:szCs w:val="22"/>
        </w:rPr>
        <w:br w:type="page"/>
      </w:r>
    </w:p>
    <w:p>
      <w:pPr>
        <w:jc w:val="both"/>
        <w:rPr>
          <w:b/>
          <w:sz w:val="22"/>
          <w:szCs w:val="22"/>
        </w:rPr>
      </w:pPr>
      <w:proofErr w:type="spellStart"/>
      <w:r>
        <w:rPr>
          <w:b/>
          <w:sz w:val="22"/>
          <w:szCs w:val="22"/>
        </w:rPr>
        <w:lastRenderedPageBreak/>
        <w:t>Warranties</w:t>
      </w:r>
      <w:proofErr w:type="spellEnd"/>
      <w:r>
        <w:rPr>
          <w:b/>
          <w:sz w:val="22"/>
          <w:szCs w:val="22"/>
        </w:rPr>
        <w:t xml:space="preserve"> and Exclusions of </w:t>
      </w:r>
      <w:proofErr w:type="spellStart"/>
      <w:r>
        <w:rPr>
          <w:b/>
          <w:sz w:val="22"/>
          <w:szCs w:val="22"/>
        </w:rPr>
        <w:t>Liability</w:t>
      </w:r>
      <w:proofErr w:type="spellEnd"/>
    </w:p>
    <w:p>
      <w:pPr>
        <w:jc w:val="both"/>
        <w:rPr>
          <w:b/>
          <w:sz w:val="22"/>
          <w:szCs w:val="22"/>
        </w:rPr>
      </w:pPr>
      <w:r>
        <w:rPr>
          <w:b/>
          <w:sz w:val="22"/>
          <w:szCs w:val="22"/>
        </w:rPr>
        <w:t>Garanties et exclusions de responsabilités</w:t>
      </w:r>
    </w:p>
    <w:p>
      <w:pPr>
        <w:spacing w:before="100" w:beforeAutospacing="1" w:after="100" w:afterAutospacing="1"/>
        <w:ind w:left="720" w:right="-199" w:hanging="294"/>
        <w:jc w:val="both"/>
        <w:rPr>
          <w:caps/>
          <w:sz w:val="22"/>
          <w:szCs w:val="22"/>
          <w:lang w:val="en-GB"/>
        </w:rPr>
      </w:pPr>
      <w:r>
        <w:rPr>
          <w:caps/>
          <w:sz w:val="22"/>
          <w:szCs w:val="22"/>
          <w:lang w:val="en-GB"/>
        </w:rPr>
        <w:t>23</w:t>
      </w:r>
      <w:r>
        <w:rPr>
          <w:caps/>
          <w:sz w:val="22"/>
          <w:szCs w:val="22"/>
          <w:lang w:val="en-GB"/>
        </w:rPr>
        <w:tab/>
      </w:r>
      <w:r>
        <w:rPr>
          <w:sz w:val="22"/>
          <w:szCs w:val="22"/>
          <w:lang w:val="en-GB"/>
        </w:rPr>
        <w:t>IOP warrants that it is entitled to grant the licence in these terms and conditions.</w:t>
      </w:r>
    </w:p>
    <w:p>
      <w:pPr>
        <w:spacing w:before="28" w:after="28"/>
        <w:ind w:left="720" w:right="-199" w:hanging="720"/>
        <w:jc w:val="both"/>
        <w:rPr>
          <w:caps/>
          <w:sz w:val="22"/>
          <w:szCs w:val="22"/>
        </w:rPr>
      </w:pPr>
      <w:r>
        <w:rPr>
          <w:sz w:val="22"/>
          <w:szCs w:val="22"/>
          <w:lang w:val="en-GB"/>
        </w:rPr>
        <w:tab/>
      </w:r>
      <w:r>
        <w:rPr>
          <w:sz w:val="22"/>
          <w:szCs w:val="22"/>
        </w:rPr>
        <w:t>IOP garantit être autorisé à accorder la licence conformément aux présentes conditions générales.</w:t>
      </w:r>
    </w:p>
    <w:p>
      <w:pPr>
        <w:spacing w:before="100" w:beforeAutospacing="1" w:after="100" w:afterAutospacing="1"/>
        <w:ind w:left="720" w:right="-199" w:hanging="294"/>
        <w:jc w:val="both"/>
        <w:rPr>
          <w:sz w:val="22"/>
          <w:szCs w:val="22"/>
          <w:lang w:val="en-GB"/>
        </w:rPr>
      </w:pPr>
      <w:r>
        <w:rPr>
          <w:sz w:val="22"/>
          <w:szCs w:val="22"/>
          <w:lang w:val="en-GB"/>
        </w:rPr>
        <w:t>24</w:t>
      </w:r>
      <w:r>
        <w:rPr>
          <w:sz w:val="22"/>
          <w:szCs w:val="22"/>
          <w:lang w:val="en-GB"/>
        </w:rPr>
        <w:tab/>
        <w:t>IOP will take reasonable care to ensure that the Journals are complete, accurate and error free but IOP does not warrant their completeness or accuracy and does not warrant that the Licensee’s access to the Service will be uninterrupted or error free or that the results obtained will be useful or will satisfy institutional requirements.</w:t>
      </w:r>
    </w:p>
    <w:p>
      <w:pPr>
        <w:spacing w:before="28" w:after="28"/>
        <w:ind w:left="720" w:right="-199" w:hanging="720"/>
        <w:jc w:val="both"/>
        <w:rPr>
          <w:sz w:val="22"/>
          <w:szCs w:val="22"/>
        </w:rPr>
      </w:pPr>
      <w:r>
        <w:rPr>
          <w:sz w:val="22"/>
          <w:szCs w:val="22"/>
          <w:lang w:val="en-GB"/>
        </w:rPr>
        <w:tab/>
      </w:r>
      <w:r>
        <w:rPr>
          <w:sz w:val="22"/>
          <w:szCs w:val="22"/>
        </w:rPr>
        <w:t>IOP prendra toutes les mesures raisonnables pour garantir que les publications sont complètes, exactes et sans erreur, mais ne peut garantir leur exhaustivité ou exactitude, l’absence d’interruption ou de panne de l’accès du Titulaire de Licence, ni que les résultats obtenus seront utiles ou répondront aux besoins institutionnels.</w:t>
      </w:r>
    </w:p>
    <w:p>
      <w:pPr>
        <w:spacing w:before="100" w:beforeAutospacing="1" w:after="100" w:afterAutospacing="1"/>
        <w:ind w:left="720" w:right="-199" w:hanging="294"/>
        <w:jc w:val="both"/>
        <w:rPr>
          <w:sz w:val="22"/>
          <w:szCs w:val="22"/>
          <w:lang w:val="en-GB"/>
        </w:rPr>
      </w:pPr>
      <w:r>
        <w:rPr>
          <w:sz w:val="22"/>
          <w:szCs w:val="22"/>
          <w:lang w:val="en-GB"/>
        </w:rPr>
        <w:t>25</w:t>
      </w:r>
      <w:r>
        <w:rPr>
          <w:sz w:val="22"/>
          <w:szCs w:val="22"/>
          <w:lang w:val="en-GB"/>
        </w:rPr>
        <w:tab/>
        <w:t>Other than as set out above, IOP makes no warranty or representation of any kind, express or implied, with respect to the Service, including, but not limited to, warranties of quality, originality, suitability, searchability, operation, performance, compatibility, merchantability or fitness for a particular purpose.</w:t>
      </w:r>
    </w:p>
    <w:p>
      <w:pPr>
        <w:spacing w:before="28" w:after="28"/>
        <w:ind w:left="720" w:right="-199" w:hanging="720"/>
        <w:jc w:val="both"/>
        <w:rPr>
          <w:sz w:val="22"/>
          <w:szCs w:val="22"/>
        </w:rPr>
      </w:pPr>
      <w:r>
        <w:rPr>
          <w:sz w:val="22"/>
          <w:szCs w:val="22"/>
          <w:lang w:val="en-GB"/>
        </w:rPr>
        <w:tab/>
      </w:r>
      <w:r>
        <w:rPr>
          <w:sz w:val="22"/>
          <w:szCs w:val="22"/>
        </w:rPr>
        <w:t>En dehors des clauses ci-dessus, IOP n’accorde ni garantie ni représentation de quelque nature que ce soit, explicite ou implicite, relative au service, y compris, sans s’y limiter, les garanties de qualité, d’originalité, de conformité, de capacité de recherche, de fonctionnement, d’exécution, de compatibilité, de qualité marchande ou d’adéquation à un usage particulier.</w:t>
      </w:r>
    </w:p>
    <w:p>
      <w:pPr>
        <w:spacing w:before="100" w:beforeAutospacing="1" w:after="100" w:afterAutospacing="1"/>
        <w:ind w:left="720" w:right="-199" w:hanging="294"/>
        <w:jc w:val="both"/>
        <w:rPr>
          <w:sz w:val="22"/>
          <w:szCs w:val="22"/>
          <w:lang w:val="en-GB"/>
        </w:rPr>
      </w:pPr>
      <w:r>
        <w:rPr>
          <w:sz w:val="22"/>
          <w:szCs w:val="22"/>
          <w:lang w:val="en-GB"/>
        </w:rPr>
        <w:t>26 IOP shall not be liable for any indirect, incidental, consequential, exemplary, special or other damages arising out of, or in connection with, this Licence and/or use of the Service, including, without limitation, for loss of profit, loss of revenue, loss of contracts, business interruption or loss of data.</w:t>
      </w:r>
    </w:p>
    <w:p>
      <w:pPr>
        <w:spacing w:before="28" w:after="28"/>
        <w:ind w:left="720" w:right="-199" w:hanging="720"/>
        <w:jc w:val="both"/>
        <w:rPr>
          <w:sz w:val="22"/>
          <w:szCs w:val="22"/>
        </w:rPr>
      </w:pPr>
      <w:r>
        <w:rPr>
          <w:sz w:val="22"/>
          <w:szCs w:val="22"/>
          <w:lang w:val="en-GB"/>
        </w:rPr>
        <w:tab/>
      </w:r>
      <w:r>
        <w:rPr>
          <w:sz w:val="22"/>
          <w:szCs w:val="22"/>
        </w:rPr>
        <w:t>IOP ne pourra être tenu responsable pour les dommages indirects, accidentels, consécutifs, exemplaires, particuliers ou autres découlant de, ou en relation avec, la présente licence et/ou l’utilisation de ce service, y compris, sans s’y limiter, le manque à gagner, la perte de revenus, la perte de contrats, l’interruption des activités ou la perte de données.</w:t>
      </w:r>
    </w:p>
    <w:p>
      <w:pPr>
        <w:spacing w:before="100" w:beforeAutospacing="1" w:after="100" w:afterAutospacing="1"/>
        <w:ind w:left="720" w:right="-199" w:hanging="294"/>
        <w:jc w:val="both"/>
        <w:rPr>
          <w:sz w:val="22"/>
          <w:szCs w:val="22"/>
          <w:lang w:val="en-GB"/>
        </w:rPr>
      </w:pPr>
      <w:r>
        <w:rPr>
          <w:sz w:val="22"/>
          <w:szCs w:val="22"/>
          <w:lang w:val="en-GB"/>
        </w:rPr>
        <w:t>27</w:t>
      </w:r>
      <w:r>
        <w:rPr>
          <w:sz w:val="22"/>
          <w:szCs w:val="22"/>
          <w:lang w:val="en-GB"/>
        </w:rPr>
        <w:tab/>
        <w:t>In no event shall the total aggregate liability of IOP for any claims, losses or damages arising out of a breach or termination of access to the Service, whether in contract, tort or otherwise, including, without limitation, due to negligence, exceed the total amount paid by the Licensee to IOP for the Service during the year in which such claim, loss or damage occurred, even if IOP has been advised of the possibility of such potential claim, loss or damage.</w:t>
      </w:r>
    </w:p>
    <w:p>
      <w:pPr>
        <w:spacing w:before="28" w:after="28"/>
        <w:ind w:left="720" w:right="-199" w:hanging="720"/>
        <w:jc w:val="both"/>
        <w:rPr>
          <w:sz w:val="22"/>
          <w:szCs w:val="22"/>
        </w:rPr>
      </w:pPr>
      <w:r>
        <w:rPr>
          <w:sz w:val="22"/>
          <w:szCs w:val="22"/>
          <w:lang w:val="en-GB"/>
        </w:rPr>
        <w:tab/>
      </w:r>
      <w:r>
        <w:rPr>
          <w:sz w:val="22"/>
          <w:szCs w:val="22"/>
        </w:rPr>
        <w:t xml:space="preserve">La responsabilité globale d’IOP pour toutes réclamations, pertes ou dommages résultant d’une violation ou de la résiliation de l’accès au service, que ce soit de manière contractuelle, délictuelle ou autre, y compris, sans s’y limiter, suite à une négligence, ne pourra en aucun cas excéder le montant total </w:t>
      </w:r>
      <w:proofErr w:type="spellStart"/>
      <w:r>
        <w:rPr>
          <w:sz w:val="22"/>
          <w:szCs w:val="22"/>
        </w:rPr>
        <w:t>pay</w:t>
      </w:r>
      <w:proofErr w:type="spellEnd"/>
      <w:r>
        <w:rPr>
          <w:sz w:val="22"/>
          <w:szCs w:val="22"/>
        </w:rPr>
        <w:t xml:space="preserve"> par le Titulaire de Licence à IOP pour le service au cours de l’année correspondant à cette réclamation, perte ou dommage, y compris si IOP a été informé de la possibilité de cette réclamation, perte ou dommage.</w:t>
      </w:r>
    </w:p>
    <w:p>
      <w:pPr>
        <w:spacing w:before="100" w:beforeAutospacing="1" w:after="100" w:afterAutospacing="1"/>
        <w:ind w:left="720" w:right="-199" w:hanging="294"/>
        <w:jc w:val="both"/>
        <w:rPr>
          <w:sz w:val="22"/>
          <w:szCs w:val="22"/>
          <w:lang w:val="en-GB"/>
        </w:rPr>
      </w:pPr>
      <w:r>
        <w:rPr>
          <w:sz w:val="22"/>
          <w:szCs w:val="22"/>
          <w:lang w:val="en-GB"/>
        </w:rPr>
        <w:t>28</w:t>
      </w:r>
      <w:r>
        <w:rPr>
          <w:sz w:val="22"/>
          <w:szCs w:val="22"/>
          <w:lang w:val="en-GB"/>
        </w:rPr>
        <w:tab/>
        <w:t>The foregoing limitation of liability and exclusion of certain damages shall apply regardless of the success or effectiveness of other remedies.</w:t>
      </w:r>
    </w:p>
    <w:p>
      <w:pPr>
        <w:spacing w:before="28" w:after="28"/>
        <w:ind w:left="720" w:right="-199" w:hanging="720"/>
        <w:jc w:val="both"/>
        <w:rPr>
          <w:sz w:val="22"/>
          <w:szCs w:val="22"/>
        </w:rPr>
      </w:pPr>
      <w:r>
        <w:rPr>
          <w:sz w:val="22"/>
          <w:szCs w:val="22"/>
          <w:lang w:val="en-GB"/>
        </w:rPr>
        <w:lastRenderedPageBreak/>
        <w:tab/>
      </w:r>
      <w:r>
        <w:rPr>
          <w:sz w:val="22"/>
          <w:szCs w:val="22"/>
        </w:rPr>
        <w:t>La limitation de responsabilité et d’exclusion de certains dommages s’appliquera indépendamment du succès ou de l’efficacité d’autres recours.</w:t>
      </w:r>
    </w:p>
    <w:p>
      <w:pPr>
        <w:spacing w:before="100" w:beforeAutospacing="1" w:after="100" w:afterAutospacing="1"/>
        <w:ind w:left="720" w:right="-199" w:hanging="294"/>
        <w:jc w:val="both"/>
        <w:rPr>
          <w:sz w:val="22"/>
          <w:szCs w:val="22"/>
          <w:lang w:val="en-GB"/>
        </w:rPr>
      </w:pPr>
      <w:r>
        <w:rPr>
          <w:sz w:val="22"/>
          <w:szCs w:val="22"/>
          <w:lang w:val="en-GB"/>
        </w:rPr>
        <w:t>29</w:t>
      </w:r>
      <w:r>
        <w:rPr>
          <w:sz w:val="22"/>
          <w:szCs w:val="22"/>
          <w:lang w:val="en-GB"/>
        </w:rPr>
        <w:tab/>
        <w:t>Regardless of the cause or form of action, the Licensee may not bring any action arising from these terms and conditions more than twelve calendar months after the cause of action arose.</w:t>
      </w:r>
    </w:p>
    <w:p>
      <w:pPr>
        <w:spacing w:before="28" w:after="28"/>
        <w:ind w:left="720" w:right="-199" w:hanging="720"/>
        <w:jc w:val="both"/>
        <w:rPr>
          <w:sz w:val="22"/>
          <w:szCs w:val="22"/>
        </w:rPr>
      </w:pPr>
      <w:r>
        <w:rPr>
          <w:sz w:val="22"/>
          <w:szCs w:val="22"/>
          <w:lang w:val="en-GB"/>
        </w:rPr>
        <w:tab/>
      </w:r>
      <w:r>
        <w:rPr>
          <w:sz w:val="22"/>
          <w:szCs w:val="22"/>
        </w:rPr>
        <w:t xml:space="preserve">Quelle que soit la cause ou la forme de l’action, le </w:t>
      </w:r>
      <w:bookmarkStart w:id="7" w:name="_Hlk99703609"/>
      <w:r>
        <w:rPr>
          <w:sz w:val="22"/>
          <w:szCs w:val="22"/>
        </w:rPr>
        <w:t xml:space="preserve">Titulaire de Licence </w:t>
      </w:r>
      <w:bookmarkEnd w:id="7"/>
      <w:r>
        <w:rPr>
          <w:sz w:val="22"/>
          <w:szCs w:val="22"/>
        </w:rPr>
        <w:t xml:space="preserve">ne pourra intenter une action découlant des présentes conditions générales dans un délai supérieur </w:t>
      </w:r>
      <w:proofErr w:type="spellStart"/>
      <w:r>
        <w:rPr>
          <w:sz w:val="22"/>
          <w:szCs w:val="22"/>
        </w:rPr>
        <w:t>a</w:t>
      </w:r>
      <w:proofErr w:type="spellEnd"/>
      <w:r>
        <w:rPr>
          <w:sz w:val="22"/>
          <w:szCs w:val="22"/>
        </w:rPr>
        <w:t xml:space="preserve"> douze mois civils à compter de la cause d’action.</w:t>
      </w:r>
    </w:p>
    <w:p>
      <w:pPr>
        <w:spacing w:before="100" w:beforeAutospacing="1" w:after="100" w:afterAutospacing="1"/>
        <w:ind w:left="720" w:right="-199" w:hanging="294"/>
        <w:jc w:val="both"/>
        <w:rPr>
          <w:sz w:val="22"/>
          <w:szCs w:val="22"/>
          <w:lang w:val="en-GB"/>
        </w:rPr>
      </w:pPr>
      <w:r>
        <w:rPr>
          <w:sz w:val="22"/>
          <w:szCs w:val="22"/>
          <w:lang w:val="en-GB"/>
        </w:rPr>
        <w:t>30 The Licensee assumes sole responsibility for all use of the Service through its IP addresses and indemnifies and agrees to hold IOP indemnified from any liability or claim of any person arising from such use.</w:t>
      </w:r>
    </w:p>
    <w:p>
      <w:pPr>
        <w:spacing w:before="28" w:after="28"/>
        <w:ind w:left="720" w:right="-199" w:hanging="720"/>
        <w:jc w:val="both"/>
        <w:rPr>
          <w:sz w:val="22"/>
          <w:szCs w:val="22"/>
        </w:rPr>
      </w:pPr>
      <w:r>
        <w:rPr>
          <w:sz w:val="22"/>
          <w:szCs w:val="22"/>
          <w:lang w:val="en-GB"/>
        </w:rPr>
        <w:tab/>
      </w:r>
      <w:r>
        <w:rPr>
          <w:sz w:val="22"/>
          <w:szCs w:val="22"/>
        </w:rPr>
        <w:t>Le Titulaire de Licence accepte la responsabilité exclusive pour toutes les utilisations du service via leurs adresses IP et accepteront de dédommager et de dégager IOP de toute responsabilité ou demande de quiconque découlant de cette utilisation.</w:t>
      </w:r>
    </w:p>
    <w:p>
      <w:pPr>
        <w:spacing w:before="28" w:after="28"/>
        <w:ind w:left="720" w:right="-199" w:hanging="720"/>
        <w:jc w:val="both"/>
        <w:rPr>
          <w:sz w:val="22"/>
          <w:szCs w:val="22"/>
        </w:rPr>
      </w:pPr>
    </w:p>
    <w:p>
      <w:pPr>
        <w:spacing w:before="28" w:after="28"/>
        <w:ind w:left="720" w:right="-199" w:hanging="294"/>
        <w:jc w:val="both"/>
        <w:rPr>
          <w:sz w:val="22"/>
          <w:szCs w:val="22"/>
          <w:lang w:val="en-GB"/>
        </w:rPr>
      </w:pPr>
      <w:r>
        <w:rPr>
          <w:sz w:val="22"/>
          <w:szCs w:val="22"/>
          <w:lang w:val="en-GB"/>
        </w:rPr>
        <w:t xml:space="preserve">31 [Clause intentionally deleted]. </w:t>
      </w:r>
    </w:p>
    <w:p>
      <w:pPr>
        <w:spacing w:before="28" w:after="28"/>
        <w:ind w:left="720" w:right="-199" w:hanging="720"/>
        <w:jc w:val="both"/>
        <w:rPr>
          <w:sz w:val="22"/>
          <w:szCs w:val="22"/>
          <w:lang w:val="en-GB"/>
        </w:rPr>
      </w:pPr>
    </w:p>
    <w:p>
      <w:pPr>
        <w:spacing w:before="28" w:after="28"/>
        <w:ind w:left="720" w:right="-199" w:hanging="720"/>
        <w:jc w:val="both"/>
        <w:rPr>
          <w:sz w:val="22"/>
          <w:szCs w:val="22"/>
          <w:lang w:val="en-GB"/>
        </w:rPr>
      </w:pPr>
      <w:r>
        <w:rPr>
          <w:sz w:val="22"/>
          <w:szCs w:val="22"/>
          <w:lang w:val="en-GB"/>
        </w:rPr>
        <w:tab/>
        <w:t xml:space="preserve">[Clause </w:t>
      </w:r>
      <w:proofErr w:type="spellStart"/>
      <w:r>
        <w:rPr>
          <w:sz w:val="22"/>
          <w:szCs w:val="22"/>
          <w:lang w:val="en-GB"/>
        </w:rPr>
        <w:t>intentionnellement</w:t>
      </w:r>
      <w:proofErr w:type="spellEnd"/>
      <w:r>
        <w:rPr>
          <w:sz w:val="22"/>
          <w:szCs w:val="22"/>
          <w:lang w:val="en-GB"/>
        </w:rPr>
        <w:t xml:space="preserve"> </w:t>
      </w:r>
      <w:proofErr w:type="spellStart"/>
      <w:r>
        <w:rPr>
          <w:sz w:val="22"/>
          <w:szCs w:val="22"/>
          <w:lang w:val="en-GB"/>
        </w:rPr>
        <w:t>supprimée</w:t>
      </w:r>
      <w:proofErr w:type="spellEnd"/>
      <w:r>
        <w:rPr>
          <w:sz w:val="22"/>
          <w:szCs w:val="22"/>
          <w:lang w:val="en-GB"/>
        </w:rPr>
        <w:t xml:space="preserve">]. </w:t>
      </w:r>
    </w:p>
    <w:p>
      <w:pPr>
        <w:spacing w:before="28" w:after="28"/>
        <w:ind w:left="720" w:right="-199" w:hanging="720"/>
        <w:jc w:val="both"/>
        <w:rPr>
          <w:sz w:val="22"/>
          <w:szCs w:val="22"/>
          <w:lang w:val="en-GB"/>
        </w:rPr>
      </w:pPr>
    </w:p>
    <w:p>
      <w:pPr>
        <w:spacing w:before="120"/>
        <w:ind w:left="709" w:hanging="283"/>
        <w:jc w:val="both"/>
        <w:rPr>
          <w:sz w:val="22"/>
          <w:szCs w:val="22"/>
          <w:lang w:val="en-GB"/>
        </w:rPr>
      </w:pPr>
      <w:r>
        <w:rPr>
          <w:sz w:val="22"/>
          <w:szCs w:val="22"/>
          <w:lang w:val="en-GB"/>
        </w:rPr>
        <w:t>32</w:t>
      </w:r>
      <w:r>
        <w:rPr>
          <w:sz w:val="22"/>
          <w:szCs w:val="22"/>
          <w:lang w:val="en-GB"/>
        </w:rPr>
        <w:tab/>
        <w:t>IOP uses all reasonable endeavours to include all research material forming part of the products in the archive service but due to the age, rarity and unavailability of certain material, IOP accepts no responsibility for the completeness of the material and makes no representation or warranty in this regard.</w:t>
      </w:r>
    </w:p>
    <w:p>
      <w:pPr>
        <w:ind w:left="360" w:hanging="360"/>
        <w:jc w:val="both"/>
        <w:rPr>
          <w:sz w:val="22"/>
          <w:szCs w:val="22"/>
          <w:lang w:val="en-GB"/>
        </w:rPr>
      </w:pPr>
    </w:p>
    <w:p>
      <w:pPr>
        <w:ind w:left="705"/>
        <w:jc w:val="both"/>
        <w:rPr>
          <w:sz w:val="22"/>
          <w:szCs w:val="22"/>
        </w:rPr>
      </w:pPr>
      <w:r>
        <w:rPr>
          <w:sz w:val="22"/>
          <w:szCs w:val="22"/>
        </w:rPr>
        <w:t>IOP prendra toutes les mesures raisonnables pour inclure tous les documents faisant partie des produits dans les archives mais, en raison de l’ancienneté, de la rareté et de l’indisponibilité de certains documents, IOP décline toute responsabilité relative au caractère exhaustif des documents et exclut toute déclaration ou garantie a cet égard.</w:t>
      </w:r>
    </w:p>
    <w:p>
      <w:pPr>
        <w:tabs>
          <w:tab w:val="num" w:pos="360"/>
        </w:tabs>
        <w:ind w:left="360" w:hanging="360"/>
        <w:jc w:val="both"/>
        <w:rPr>
          <w:sz w:val="22"/>
          <w:szCs w:val="22"/>
        </w:rPr>
      </w:pPr>
    </w:p>
    <w:p>
      <w:pPr>
        <w:ind w:left="709" w:hanging="283"/>
        <w:jc w:val="both"/>
        <w:rPr>
          <w:kern w:val="28"/>
          <w:sz w:val="22"/>
          <w:szCs w:val="22"/>
          <w:lang w:val="en-GB"/>
        </w:rPr>
      </w:pPr>
      <w:r>
        <w:rPr>
          <w:sz w:val="22"/>
          <w:szCs w:val="22"/>
          <w:lang w:val="en-GB"/>
        </w:rPr>
        <w:t>33</w:t>
      </w:r>
      <w:r>
        <w:rPr>
          <w:sz w:val="22"/>
          <w:szCs w:val="22"/>
          <w:lang w:val="en-GB"/>
        </w:rPr>
        <w:tab/>
        <w:t xml:space="preserve">IOP conducts reasonable quality checking as part of the production process of the archive service.  This checking encompasses accuracy and completeness.  No checking above and beyond the checking which forms part of the production process has been carried out.  </w:t>
      </w:r>
      <w:proofErr w:type="gramStart"/>
      <w:r>
        <w:rPr>
          <w:sz w:val="22"/>
          <w:szCs w:val="22"/>
          <w:lang w:val="en-GB"/>
        </w:rPr>
        <w:t>Consequently</w:t>
      </w:r>
      <w:proofErr w:type="gramEnd"/>
      <w:r>
        <w:rPr>
          <w:sz w:val="22"/>
          <w:szCs w:val="22"/>
          <w:lang w:val="en-GB"/>
        </w:rPr>
        <w:t xml:space="preserve"> IOP accepts no responsibility for the accuracy or completeness of the material licensed and makes no warranty or representation in this regard.</w:t>
      </w:r>
    </w:p>
    <w:p>
      <w:pPr>
        <w:ind w:left="709" w:hanging="709"/>
        <w:jc w:val="both"/>
        <w:rPr>
          <w:sz w:val="22"/>
          <w:szCs w:val="22"/>
          <w:lang w:val="en-GB"/>
        </w:rPr>
      </w:pPr>
      <w:r>
        <w:rPr>
          <w:sz w:val="22"/>
          <w:szCs w:val="22"/>
          <w:lang w:val="en-GB"/>
        </w:rPr>
        <w:tab/>
      </w:r>
    </w:p>
    <w:p>
      <w:pPr>
        <w:ind w:left="709" w:hanging="709"/>
        <w:jc w:val="both"/>
        <w:rPr>
          <w:sz w:val="22"/>
          <w:szCs w:val="22"/>
        </w:rPr>
      </w:pPr>
      <w:r>
        <w:rPr>
          <w:sz w:val="22"/>
          <w:szCs w:val="22"/>
          <w:lang w:val="en-GB"/>
        </w:rPr>
        <w:tab/>
      </w:r>
      <w:r>
        <w:rPr>
          <w:sz w:val="22"/>
          <w:szCs w:val="22"/>
        </w:rPr>
        <w:t>Le processus de classement des archives d’IOP fait l’objet de contrôles de qualité appropriés, notamment des contrôles d’exactitude et d’exhaustivité.  Aucun contrôle supplémentaire n’a été réalisé en plus des contrôles du processus de classement.  En conséquence, IOP décline toute responsabilité quant à l’exactitude et l’exhaustivité du matériel sous licence, et exclut toute garantie ou représentation à cet égard.</w:t>
      </w:r>
    </w:p>
    <w:p>
      <w:pPr>
        <w:jc w:val="both"/>
        <w:rPr>
          <w:color w:val="FF0000"/>
          <w:sz w:val="22"/>
          <w:szCs w:val="22"/>
        </w:rPr>
      </w:pPr>
    </w:p>
    <w:p>
      <w:pPr>
        <w:jc w:val="both"/>
        <w:rPr>
          <w:b/>
          <w:sz w:val="22"/>
          <w:szCs w:val="22"/>
          <w:lang w:val="en-GB"/>
        </w:rPr>
      </w:pPr>
      <w:r>
        <w:rPr>
          <w:b/>
          <w:sz w:val="22"/>
          <w:szCs w:val="22"/>
          <w:lang w:val="en-GB"/>
        </w:rPr>
        <w:t>General</w:t>
      </w:r>
    </w:p>
    <w:p>
      <w:pPr>
        <w:jc w:val="both"/>
        <w:rPr>
          <w:b/>
          <w:sz w:val="22"/>
          <w:szCs w:val="22"/>
          <w:lang w:val="en-GB"/>
        </w:rPr>
      </w:pPr>
      <w:proofErr w:type="spellStart"/>
      <w:r>
        <w:rPr>
          <w:b/>
          <w:sz w:val="22"/>
          <w:szCs w:val="22"/>
          <w:lang w:val="en-GB"/>
        </w:rPr>
        <w:t>Généralités</w:t>
      </w:r>
      <w:proofErr w:type="spellEnd"/>
    </w:p>
    <w:p>
      <w:pPr>
        <w:spacing w:before="100" w:beforeAutospacing="1" w:after="100" w:afterAutospacing="1"/>
        <w:ind w:left="720" w:right="-199" w:hanging="294"/>
        <w:jc w:val="both"/>
        <w:rPr>
          <w:sz w:val="22"/>
          <w:szCs w:val="22"/>
          <w:lang w:val="en-GB"/>
        </w:rPr>
      </w:pPr>
      <w:r>
        <w:rPr>
          <w:sz w:val="22"/>
          <w:szCs w:val="22"/>
          <w:lang w:val="en-GB"/>
        </w:rPr>
        <w:t>34</w:t>
      </w:r>
      <w:r>
        <w:rPr>
          <w:sz w:val="22"/>
          <w:szCs w:val="22"/>
          <w:lang w:val="en-GB"/>
        </w:rPr>
        <w:tab/>
        <w:t>Failure to enforce any provision on any one occasion will not affect a party’s right to enforce another provision or the same provision on another occasion.  This is not intended to exclude any liability that either party may have for fraud.</w:t>
      </w:r>
    </w:p>
    <w:p>
      <w:pPr>
        <w:spacing w:before="100" w:beforeAutospacing="1" w:after="100" w:afterAutospacing="1"/>
        <w:ind w:left="720" w:right="-199" w:hanging="720"/>
        <w:jc w:val="both"/>
        <w:rPr>
          <w:sz w:val="22"/>
          <w:szCs w:val="22"/>
        </w:rPr>
      </w:pPr>
      <w:r>
        <w:rPr>
          <w:sz w:val="22"/>
          <w:szCs w:val="22"/>
          <w:lang w:val="en-GB"/>
        </w:rPr>
        <w:lastRenderedPageBreak/>
        <w:tab/>
      </w:r>
      <w:r>
        <w:rPr>
          <w:sz w:val="22"/>
          <w:szCs w:val="22"/>
        </w:rPr>
        <w:t>Le non-respect d’une disposition n’affectera pas le droit d’une partie d’appliquer une autre disposition ou la même disposition à une autre occasion.  Elles n’ont pas pour objet d’exclure la responsabilité pour fraude des parties.</w:t>
      </w:r>
    </w:p>
    <w:p>
      <w:pPr>
        <w:spacing w:before="100" w:beforeAutospacing="1" w:after="100" w:afterAutospacing="1"/>
        <w:ind w:left="720" w:right="-199" w:hanging="294"/>
        <w:jc w:val="both"/>
        <w:rPr>
          <w:sz w:val="22"/>
          <w:szCs w:val="22"/>
          <w:lang w:val="en-GB"/>
        </w:rPr>
      </w:pPr>
      <w:r>
        <w:rPr>
          <w:sz w:val="22"/>
          <w:szCs w:val="22"/>
          <w:lang w:val="en-GB"/>
        </w:rPr>
        <w:t>35</w:t>
      </w:r>
      <w:r>
        <w:rPr>
          <w:sz w:val="22"/>
          <w:szCs w:val="22"/>
          <w:lang w:val="en-GB"/>
        </w:rPr>
        <w:tab/>
        <w:t xml:space="preserve">[Clause intentionally deleted]. </w:t>
      </w:r>
    </w:p>
    <w:p>
      <w:pPr>
        <w:spacing w:before="100" w:beforeAutospacing="1" w:after="100" w:afterAutospacing="1"/>
        <w:ind w:left="720" w:right="-199" w:hanging="720"/>
        <w:jc w:val="both"/>
        <w:rPr>
          <w:sz w:val="22"/>
          <w:szCs w:val="22"/>
          <w:lang w:val="en-GB"/>
        </w:rPr>
      </w:pPr>
      <w:r>
        <w:rPr>
          <w:sz w:val="22"/>
          <w:szCs w:val="22"/>
          <w:lang w:val="en-GB"/>
        </w:rPr>
        <w:tab/>
        <w:t xml:space="preserve">[Clause </w:t>
      </w:r>
      <w:proofErr w:type="spellStart"/>
      <w:r>
        <w:rPr>
          <w:sz w:val="22"/>
          <w:szCs w:val="22"/>
          <w:lang w:val="en-GB"/>
        </w:rPr>
        <w:t>intentionnellement</w:t>
      </w:r>
      <w:proofErr w:type="spellEnd"/>
      <w:r>
        <w:rPr>
          <w:sz w:val="22"/>
          <w:szCs w:val="22"/>
          <w:lang w:val="en-GB"/>
        </w:rPr>
        <w:t xml:space="preserve"> </w:t>
      </w:r>
      <w:proofErr w:type="spellStart"/>
      <w:r>
        <w:rPr>
          <w:sz w:val="22"/>
          <w:szCs w:val="22"/>
          <w:lang w:val="en-GB"/>
        </w:rPr>
        <w:t>supprimée</w:t>
      </w:r>
      <w:proofErr w:type="spellEnd"/>
      <w:r>
        <w:rPr>
          <w:sz w:val="22"/>
          <w:szCs w:val="22"/>
          <w:lang w:val="en-GB"/>
        </w:rPr>
        <w:t xml:space="preserve">]. </w:t>
      </w:r>
    </w:p>
    <w:p>
      <w:pPr>
        <w:spacing w:before="100" w:beforeAutospacing="1" w:after="100" w:afterAutospacing="1"/>
        <w:ind w:left="720" w:right="-199" w:hanging="294"/>
        <w:jc w:val="both"/>
        <w:rPr>
          <w:sz w:val="22"/>
          <w:szCs w:val="22"/>
          <w:lang w:val="en-GB"/>
        </w:rPr>
      </w:pPr>
      <w:r>
        <w:rPr>
          <w:sz w:val="22"/>
          <w:szCs w:val="22"/>
          <w:lang w:val="en-GB"/>
        </w:rPr>
        <w:t>36 The Licensee confirms that IOP is entitled to contact the individuals, whose contact details are included in Schedule 2, for:</w:t>
      </w:r>
    </w:p>
    <w:p>
      <w:pPr>
        <w:spacing w:before="100" w:beforeAutospacing="1" w:after="100" w:afterAutospacing="1"/>
        <w:ind w:left="720" w:right="-199" w:hanging="720"/>
        <w:jc w:val="both"/>
        <w:rPr>
          <w:sz w:val="22"/>
          <w:szCs w:val="22"/>
        </w:rPr>
      </w:pPr>
      <w:r>
        <w:rPr>
          <w:sz w:val="22"/>
          <w:szCs w:val="22"/>
          <w:lang w:val="en-GB"/>
        </w:rPr>
        <w:tab/>
      </w:r>
      <w:r>
        <w:rPr>
          <w:sz w:val="22"/>
          <w:szCs w:val="22"/>
        </w:rPr>
        <w:t xml:space="preserve">Le Titulaire de Licence </w:t>
      </w:r>
      <w:r>
        <w:rPr>
          <w:color w:val="000000"/>
          <w:sz w:val="22"/>
          <w:szCs w:val="22"/>
        </w:rPr>
        <w:t xml:space="preserve">accepte qu’IOP contacte les personnes dont les coordonnées sont indiquées dans les Annexes 2, </w:t>
      </w:r>
      <w:r>
        <w:rPr>
          <w:sz w:val="22"/>
          <w:szCs w:val="22"/>
        </w:rPr>
        <w:t>pour :</w:t>
      </w:r>
    </w:p>
    <w:p>
      <w:pPr>
        <w:spacing w:before="100" w:beforeAutospacing="1" w:after="100" w:afterAutospacing="1"/>
        <w:ind w:left="1440" w:right="-199" w:hanging="720"/>
        <w:jc w:val="both"/>
        <w:rPr>
          <w:sz w:val="22"/>
          <w:szCs w:val="22"/>
          <w:lang w:val="en-GB"/>
        </w:rPr>
      </w:pPr>
      <w:r>
        <w:rPr>
          <w:sz w:val="22"/>
          <w:szCs w:val="22"/>
          <w:lang w:val="en-GB"/>
        </w:rPr>
        <w:t>36.1</w:t>
      </w:r>
      <w:r>
        <w:rPr>
          <w:sz w:val="22"/>
          <w:szCs w:val="22"/>
          <w:lang w:val="en-GB"/>
        </w:rPr>
        <w:tab/>
        <w:t>the purposes of keeping them updated with information about the Service; and</w:t>
      </w:r>
    </w:p>
    <w:p>
      <w:pPr>
        <w:spacing w:before="100" w:beforeAutospacing="1" w:after="100" w:afterAutospacing="1"/>
        <w:ind w:left="1440" w:right="-199" w:hanging="720"/>
        <w:jc w:val="both"/>
        <w:rPr>
          <w:sz w:val="22"/>
          <w:szCs w:val="22"/>
        </w:rPr>
      </w:pPr>
      <w:r>
        <w:rPr>
          <w:sz w:val="22"/>
          <w:szCs w:val="22"/>
          <w:lang w:val="en-GB"/>
        </w:rPr>
        <w:tab/>
      </w:r>
      <w:proofErr w:type="gramStart"/>
      <w:r>
        <w:rPr>
          <w:sz w:val="22"/>
          <w:szCs w:val="22"/>
        </w:rPr>
        <w:t>leur</w:t>
      </w:r>
      <w:proofErr w:type="gramEnd"/>
      <w:r>
        <w:rPr>
          <w:sz w:val="22"/>
          <w:szCs w:val="22"/>
        </w:rPr>
        <w:t xml:space="preserve"> fournir les dernières informations relatives au Service; et</w:t>
      </w:r>
    </w:p>
    <w:p>
      <w:pPr>
        <w:spacing w:before="100" w:beforeAutospacing="1" w:after="100" w:afterAutospacing="1"/>
        <w:ind w:left="1440" w:right="-199" w:hanging="720"/>
        <w:jc w:val="both"/>
        <w:rPr>
          <w:sz w:val="22"/>
          <w:szCs w:val="22"/>
          <w:lang w:val="en-GB"/>
        </w:rPr>
      </w:pPr>
      <w:r>
        <w:rPr>
          <w:sz w:val="22"/>
          <w:szCs w:val="22"/>
          <w:lang w:val="en-GB"/>
        </w:rPr>
        <w:t>36.2</w:t>
      </w:r>
      <w:r>
        <w:rPr>
          <w:sz w:val="22"/>
          <w:szCs w:val="22"/>
          <w:lang w:val="en-GB"/>
        </w:rPr>
        <w:tab/>
        <w:t>promoting other goods and services of IOP and its group companies from time to time.</w:t>
      </w:r>
    </w:p>
    <w:p>
      <w:pPr>
        <w:spacing w:before="100" w:beforeAutospacing="1" w:after="100" w:afterAutospacing="1"/>
        <w:ind w:left="1440" w:right="-199" w:hanging="720"/>
        <w:jc w:val="both"/>
        <w:rPr>
          <w:sz w:val="22"/>
          <w:szCs w:val="22"/>
        </w:rPr>
      </w:pPr>
      <w:r>
        <w:rPr>
          <w:sz w:val="22"/>
          <w:szCs w:val="22"/>
          <w:lang w:val="en-GB"/>
        </w:rPr>
        <w:tab/>
      </w:r>
      <w:proofErr w:type="gramStart"/>
      <w:r>
        <w:rPr>
          <w:sz w:val="22"/>
          <w:szCs w:val="22"/>
        </w:rPr>
        <w:t>promouvoir</w:t>
      </w:r>
      <w:proofErr w:type="gramEnd"/>
      <w:r>
        <w:rPr>
          <w:sz w:val="22"/>
          <w:szCs w:val="22"/>
        </w:rPr>
        <w:t xml:space="preserve"> d’autres biens et services d’IOP et des sociétés de son groupe.</w:t>
      </w:r>
    </w:p>
    <w:p>
      <w:pPr>
        <w:spacing w:before="100" w:beforeAutospacing="1" w:after="100" w:afterAutospacing="1"/>
        <w:ind w:left="720" w:right="-199" w:hanging="294"/>
        <w:jc w:val="both"/>
        <w:rPr>
          <w:sz w:val="22"/>
          <w:szCs w:val="22"/>
          <w:lang w:val="en-GB"/>
        </w:rPr>
      </w:pPr>
      <w:r>
        <w:rPr>
          <w:sz w:val="22"/>
          <w:szCs w:val="22"/>
          <w:lang w:val="en-GB"/>
        </w:rPr>
        <w:t>37</w:t>
      </w:r>
      <w:r>
        <w:rPr>
          <w:sz w:val="22"/>
          <w:szCs w:val="22"/>
          <w:lang w:val="en-GB"/>
        </w:rPr>
        <w:tab/>
        <w:t>Any notice served by a party to this Licence may be sent by email, air mail, courier or by facsimile transmission to the address set out in Schedule 2 and, if so sent, shall be deemed to have been served, in respect of airmail or courier, ten working days after the date of posting and, in respect of email or facsimile transmission, at the time of such transmission (if on a working day) or, if not so received, 10am on the next working day.</w:t>
      </w:r>
    </w:p>
    <w:p>
      <w:pPr>
        <w:spacing w:before="100" w:beforeAutospacing="1" w:after="100" w:afterAutospacing="1"/>
        <w:ind w:left="720" w:right="-199" w:hanging="720"/>
        <w:jc w:val="both"/>
        <w:rPr>
          <w:strike/>
          <w:sz w:val="22"/>
          <w:szCs w:val="22"/>
        </w:rPr>
      </w:pPr>
      <w:r>
        <w:rPr>
          <w:i/>
          <w:iCs/>
          <w:sz w:val="22"/>
          <w:szCs w:val="22"/>
          <w:lang w:val="en-GB"/>
        </w:rPr>
        <w:tab/>
      </w:r>
      <w:r>
        <w:rPr>
          <w:sz w:val="22"/>
          <w:szCs w:val="22"/>
        </w:rPr>
        <w:t xml:space="preserve">Les notifications d’une partie </w:t>
      </w:r>
      <w:r>
        <w:rPr>
          <w:color w:val="000000"/>
          <w:sz w:val="22"/>
          <w:szCs w:val="22"/>
        </w:rPr>
        <w:t xml:space="preserve">prenante à cette Licence pourront être envoyées par e-mail, avion, messager ou fax à l’adresse indiquée dans les Annex 2 </w:t>
      </w:r>
      <w:r>
        <w:rPr>
          <w:sz w:val="22"/>
          <w:szCs w:val="22"/>
        </w:rPr>
        <w:t>et, dans ce cas, seront réputées signifiées dix jours ouvrables après la date d’expédition en ce qui concerne le courrier par avion et le messager, et au moment de la transmission en ce qui concerne l’adresse e-mail ou le fax (s’il est transmis un jour ouvrable) ou, sinon, à 10h00 le jour ouvrable suivant.</w:t>
      </w:r>
    </w:p>
    <w:p>
      <w:pPr>
        <w:spacing w:before="100" w:beforeAutospacing="1" w:after="100" w:afterAutospacing="1"/>
        <w:ind w:left="720" w:right="-199" w:hanging="294"/>
        <w:jc w:val="both"/>
        <w:rPr>
          <w:sz w:val="22"/>
          <w:szCs w:val="22"/>
          <w:lang w:val="en-GB"/>
        </w:rPr>
      </w:pPr>
      <w:r>
        <w:rPr>
          <w:sz w:val="22"/>
          <w:szCs w:val="22"/>
          <w:lang w:val="en-GB"/>
        </w:rPr>
        <w:t>38</w:t>
      </w:r>
      <w:r>
        <w:rPr>
          <w:sz w:val="22"/>
          <w:szCs w:val="22"/>
          <w:lang w:val="en-GB"/>
        </w:rPr>
        <w:tab/>
        <w:t>Nothing in this Licence shall create or be deemed to create a partnership or the relationship of principal and agent between the parties and the Licensee shall have no right or authority to bind or to make any representation or warranty on behalf of IOP.</w:t>
      </w:r>
    </w:p>
    <w:p>
      <w:pPr>
        <w:spacing w:before="100" w:beforeAutospacing="1" w:after="100" w:afterAutospacing="1"/>
        <w:ind w:left="720" w:right="-199" w:hanging="720"/>
        <w:jc w:val="both"/>
        <w:rPr>
          <w:sz w:val="22"/>
          <w:szCs w:val="22"/>
        </w:rPr>
      </w:pPr>
      <w:r>
        <w:rPr>
          <w:sz w:val="22"/>
          <w:szCs w:val="22"/>
          <w:lang w:val="en-GB"/>
        </w:rPr>
        <w:tab/>
      </w:r>
      <w:r>
        <w:rPr>
          <w:sz w:val="22"/>
          <w:szCs w:val="22"/>
        </w:rPr>
        <w:t>Aucune disposition des présentes ne saurait créer ou être réputée créer un partenariat ou une relation de mandant à mandataire entre les parties, et le Titulaire de Licence ne disposera pas du droit ou de l’autorité nécessaires pour faire des déclarations ou donner des garanties au nom d’IOP.</w:t>
      </w:r>
    </w:p>
    <w:p>
      <w:pPr>
        <w:spacing w:before="100" w:beforeAutospacing="1" w:after="100" w:afterAutospacing="1"/>
        <w:ind w:left="720" w:right="-199" w:hanging="294"/>
        <w:jc w:val="both"/>
        <w:rPr>
          <w:sz w:val="22"/>
          <w:szCs w:val="22"/>
          <w:lang w:val="en-GB"/>
        </w:rPr>
      </w:pPr>
      <w:r>
        <w:rPr>
          <w:sz w:val="22"/>
          <w:szCs w:val="22"/>
          <w:lang w:val="en-GB"/>
        </w:rPr>
        <w:t>39</w:t>
      </w:r>
      <w:r>
        <w:rPr>
          <w:sz w:val="22"/>
          <w:szCs w:val="22"/>
          <w:lang w:val="en-GB"/>
        </w:rPr>
        <w:tab/>
        <w:t>The failure of either party to enforce any of its legal rights on one occasion shall not affect its ability to enforce another legal right or the same legal right on another occasion.</w:t>
      </w:r>
    </w:p>
    <w:p>
      <w:pPr>
        <w:spacing w:before="100" w:beforeAutospacing="1" w:after="100" w:afterAutospacing="1"/>
        <w:ind w:left="720" w:right="-199" w:hanging="720"/>
        <w:jc w:val="both"/>
        <w:rPr>
          <w:sz w:val="22"/>
          <w:szCs w:val="22"/>
        </w:rPr>
      </w:pPr>
      <w:r>
        <w:rPr>
          <w:sz w:val="22"/>
          <w:szCs w:val="22"/>
          <w:lang w:val="en-GB"/>
        </w:rPr>
        <w:tab/>
      </w:r>
      <w:r>
        <w:rPr>
          <w:sz w:val="22"/>
          <w:szCs w:val="22"/>
        </w:rPr>
        <w:t>Le manquement par l’une des parties à exercer un de ses droits légitimes n’affectera pas sa capacité à exercer ses autres droits légitimes ou le même droit légitime à une autre occasion.</w:t>
      </w:r>
    </w:p>
    <w:p>
      <w:pPr>
        <w:spacing w:before="100" w:beforeAutospacing="1" w:after="100" w:afterAutospacing="1"/>
        <w:ind w:left="720" w:right="-199" w:hanging="294"/>
        <w:jc w:val="both"/>
        <w:rPr>
          <w:sz w:val="22"/>
          <w:szCs w:val="22"/>
          <w:lang w:val="en-GB"/>
        </w:rPr>
      </w:pPr>
      <w:r>
        <w:rPr>
          <w:sz w:val="22"/>
          <w:szCs w:val="22"/>
          <w:lang w:val="en-GB"/>
        </w:rPr>
        <w:t>40</w:t>
      </w:r>
      <w:r>
        <w:rPr>
          <w:sz w:val="22"/>
          <w:szCs w:val="22"/>
          <w:lang w:val="en-GB"/>
        </w:rPr>
        <w:tab/>
        <w:t>If any provision of this Licence is void or unenforceable, or renders this Licence or any part of it void or unenforceable, then that provision shall be severable from the remainder of this Licence which shall continue in force and be construed as if such provision had never been contained.</w:t>
      </w:r>
    </w:p>
    <w:p>
      <w:pPr>
        <w:spacing w:before="100" w:beforeAutospacing="1" w:after="100" w:afterAutospacing="1"/>
        <w:ind w:left="720" w:right="-199" w:hanging="720"/>
        <w:jc w:val="both"/>
        <w:rPr>
          <w:sz w:val="22"/>
          <w:szCs w:val="22"/>
        </w:rPr>
      </w:pPr>
      <w:r>
        <w:rPr>
          <w:sz w:val="22"/>
          <w:szCs w:val="22"/>
          <w:lang w:val="en-GB"/>
        </w:rPr>
        <w:lastRenderedPageBreak/>
        <w:tab/>
      </w:r>
      <w:r>
        <w:rPr>
          <w:sz w:val="22"/>
          <w:szCs w:val="22"/>
        </w:rPr>
        <w:t>Si une disposition de la présente Licence est considérée comme nulle ou inapplicable, ou rend tout ou partie de la présente Licence nulle ou inapplicable, cette disposition sera réputée dissociable du reste de la présente Licence, qui sera maintenue et interprétée comme si cette disposition n’avait jamais été incluse.</w:t>
      </w:r>
    </w:p>
    <w:p>
      <w:pPr>
        <w:spacing w:before="100" w:beforeAutospacing="1" w:after="100" w:afterAutospacing="1"/>
        <w:ind w:left="720" w:right="-199" w:hanging="294"/>
        <w:jc w:val="both"/>
        <w:rPr>
          <w:sz w:val="22"/>
          <w:szCs w:val="22"/>
          <w:lang w:val="en-GB"/>
        </w:rPr>
      </w:pPr>
      <w:r>
        <w:rPr>
          <w:sz w:val="22"/>
          <w:szCs w:val="22"/>
          <w:lang w:val="en-GB"/>
        </w:rPr>
        <w:t>41</w:t>
      </w:r>
      <w:r>
        <w:rPr>
          <w:sz w:val="22"/>
          <w:szCs w:val="22"/>
          <w:lang w:val="en-GB"/>
        </w:rPr>
        <w:tab/>
        <w:t xml:space="preserve">Where, during the term of this Licence, the Licensee merges with another institution this shall be negotiated between IOP and the Licensee and any changes to the licence fee shall be agreed in writing in an Addendum.  </w:t>
      </w:r>
    </w:p>
    <w:p>
      <w:pPr>
        <w:spacing w:before="100" w:beforeAutospacing="1" w:after="100" w:afterAutospacing="1"/>
        <w:ind w:left="720" w:right="-199" w:hanging="720"/>
        <w:jc w:val="both"/>
        <w:rPr>
          <w:sz w:val="22"/>
          <w:szCs w:val="22"/>
        </w:rPr>
      </w:pPr>
      <w:r>
        <w:rPr>
          <w:sz w:val="22"/>
          <w:szCs w:val="22"/>
          <w:lang w:val="en-GB"/>
        </w:rPr>
        <w:tab/>
      </w:r>
      <w:r>
        <w:rPr>
          <w:sz w:val="22"/>
          <w:szCs w:val="22"/>
        </w:rPr>
        <w:t xml:space="preserve">Si, au cours du terme de la présente Licence, le Titulaire de Licence fusionne avec un autre établissement, une offre sera négociée entre IOP </w:t>
      </w:r>
      <w:proofErr w:type="spellStart"/>
      <w:r>
        <w:rPr>
          <w:sz w:val="22"/>
          <w:szCs w:val="22"/>
        </w:rPr>
        <w:t>Publishing</w:t>
      </w:r>
      <w:proofErr w:type="spellEnd"/>
      <w:r>
        <w:rPr>
          <w:sz w:val="22"/>
          <w:szCs w:val="22"/>
        </w:rPr>
        <w:t xml:space="preserve"> et le Titulaire de Licence et remplacera la ou les offres précédemment inscrite(s) en annexe de la présente licence, qui fera l’objet d’un avenant. </w:t>
      </w:r>
    </w:p>
    <w:p>
      <w:pPr>
        <w:spacing w:before="100" w:beforeAutospacing="1" w:after="100" w:afterAutospacing="1"/>
        <w:ind w:left="720" w:right="-199" w:hanging="294"/>
        <w:jc w:val="both"/>
        <w:rPr>
          <w:sz w:val="22"/>
          <w:szCs w:val="22"/>
          <w:lang w:val="en-GB"/>
        </w:rPr>
      </w:pPr>
      <w:r>
        <w:rPr>
          <w:sz w:val="22"/>
          <w:szCs w:val="22"/>
          <w:lang w:val="en-GB"/>
        </w:rPr>
        <w:t>42</w:t>
      </w:r>
      <w:r>
        <w:rPr>
          <w:sz w:val="22"/>
          <w:szCs w:val="22"/>
          <w:lang w:val="en-GB"/>
        </w:rPr>
        <w:tab/>
        <w:t>The Licensee shall keep the financial terms of this Licence confidential and shall not disclose the same to any third party.</w:t>
      </w:r>
    </w:p>
    <w:p>
      <w:pPr>
        <w:spacing w:before="100" w:beforeAutospacing="1" w:after="100" w:afterAutospacing="1"/>
        <w:ind w:left="720" w:right="-199" w:hanging="720"/>
        <w:jc w:val="both"/>
        <w:rPr>
          <w:sz w:val="22"/>
          <w:szCs w:val="22"/>
        </w:rPr>
      </w:pPr>
      <w:r>
        <w:rPr>
          <w:sz w:val="22"/>
          <w:szCs w:val="22"/>
          <w:lang w:val="en-GB"/>
        </w:rPr>
        <w:tab/>
      </w:r>
      <w:r>
        <w:rPr>
          <w:sz w:val="22"/>
          <w:szCs w:val="22"/>
        </w:rPr>
        <w:t>Le Titulaire de Licence garantira la confidentialité des données financières de la présente Licence, et ne les divulgueront à aucune tierce partie.</w:t>
      </w:r>
    </w:p>
    <w:p>
      <w:pPr>
        <w:pStyle w:val="Titre2"/>
        <w:numPr>
          <w:ilvl w:val="0"/>
          <w:numId w:val="0"/>
        </w:numPr>
        <w:spacing w:after="120"/>
        <w:ind w:left="706" w:hanging="280"/>
        <w:rPr>
          <w:bCs/>
          <w:sz w:val="22"/>
          <w:szCs w:val="22"/>
        </w:rPr>
      </w:pPr>
      <w:r>
        <w:rPr>
          <w:bCs/>
          <w:sz w:val="22"/>
          <w:szCs w:val="22"/>
        </w:rPr>
        <w:t xml:space="preserve">43 </w:t>
      </w:r>
      <w:r>
        <w:rPr>
          <w:bCs/>
          <w:sz w:val="22"/>
          <w:szCs w:val="22"/>
        </w:rPr>
        <w:tab/>
        <w:t>Information provided in confidence may be disclosed:</w:t>
      </w:r>
    </w:p>
    <w:p>
      <w:pPr>
        <w:pStyle w:val="Titre2"/>
        <w:numPr>
          <w:ilvl w:val="0"/>
          <w:numId w:val="0"/>
        </w:numPr>
        <w:spacing w:after="120"/>
        <w:ind w:left="706"/>
        <w:rPr>
          <w:bCs/>
          <w:sz w:val="22"/>
          <w:szCs w:val="22"/>
          <w:lang w:val="fr-FR"/>
        </w:rPr>
      </w:pPr>
      <w:r>
        <w:rPr>
          <w:bCs/>
          <w:sz w:val="22"/>
          <w:szCs w:val="22"/>
          <w:lang w:val="fr-FR"/>
        </w:rPr>
        <w:t>Les informations fournies à titre confidentiel pourront être divulguées :</w:t>
      </w:r>
    </w:p>
    <w:p>
      <w:pPr>
        <w:pStyle w:val="Titre3"/>
        <w:numPr>
          <w:ilvl w:val="2"/>
          <w:numId w:val="13"/>
        </w:numPr>
        <w:spacing w:after="120" w:line="240" w:lineRule="auto"/>
        <w:ind w:left="993"/>
        <w:rPr>
          <w:bCs/>
          <w:sz w:val="22"/>
          <w:szCs w:val="22"/>
        </w:rPr>
      </w:pPr>
      <w:r>
        <w:rPr>
          <w:bCs/>
          <w:sz w:val="22"/>
          <w:szCs w:val="22"/>
        </w:rPr>
        <w:t>to any employees of IOP or the Licensee as is necessary for the purposes of this Licence; or</w:t>
      </w:r>
    </w:p>
    <w:p>
      <w:pPr>
        <w:pStyle w:val="Titre3"/>
        <w:numPr>
          <w:ilvl w:val="2"/>
          <w:numId w:val="13"/>
        </w:numPr>
        <w:spacing w:line="240" w:lineRule="auto"/>
        <w:ind w:left="993"/>
        <w:rPr>
          <w:bCs/>
          <w:sz w:val="22"/>
          <w:szCs w:val="22"/>
          <w:lang w:val="fr-FR"/>
        </w:rPr>
      </w:pPr>
      <w:proofErr w:type="gramStart"/>
      <w:r>
        <w:rPr>
          <w:bCs/>
          <w:sz w:val="22"/>
          <w:szCs w:val="22"/>
          <w:lang w:val="fr-FR"/>
        </w:rPr>
        <w:t>aux</w:t>
      </w:r>
      <w:proofErr w:type="gramEnd"/>
      <w:r>
        <w:rPr>
          <w:bCs/>
          <w:sz w:val="22"/>
          <w:szCs w:val="22"/>
          <w:lang w:val="fr-FR"/>
        </w:rPr>
        <w:t xml:space="preserve"> employés d’IOP ou au </w:t>
      </w:r>
      <w:r>
        <w:rPr>
          <w:sz w:val="22"/>
          <w:szCs w:val="22"/>
          <w:lang w:val="fr-FR"/>
        </w:rPr>
        <w:t>Titulaire de Licence</w:t>
      </w:r>
      <w:r>
        <w:rPr>
          <w:bCs/>
          <w:sz w:val="22"/>
          <w:szCs w:val="22"/>
          <w:lang w:val="fr-FR"/>
        </w:rPr>
        <w:t xml:space="preserve"> si jugé nécessaire dans le cadre de la présente Licence; ou</w:t>
      </w:r>
    </w:p>
    <w:p>
      <w:pPr>
        <w:pStyle w:val="Titre3"/>
        <w:numPr>
          <w:ilvl w:val="2"/>
          <w:numId w:val="13"/>
        </w:numPr>
        <w:spacing w:after="120" w:line="240" w:lineRule="auto"/>
        <w:ind w:left="993"/>
        <w:rPr>
          <w:bCs/>
          <w:sz w:val="22"/>
          <w:szCs w:val="22"/>
        </w:rPr>
      </w:pPr>
      <w:r>
        <w:rPr>
          <w:bCs/>
          <w:sz w:val="22"/>
          <w:szCs w:val="22"/>
        </w:rPr>
        <w:t>in so far as such information is or becomes public knowledge through no fault of the receiving party; or</w:t>
      </w:r>
    </w:p>
    <w:p>
      <w:pPr>
        <w:pStyle w:val="Titre3"/>
        <w:numPr>
          <w:ilvl w:val="2"/>
          <w:numId w:val="13"/>
        </w:numPr>
        <w:spacing w:line="240" w:lineRule="auto"/>
        <w:ind w:left="993"/>
        <w:rPr>
          <w:bCs/>
          <w:sz w:val="22"/>
          <w:szCs w:val="22"/>
          <w:lang w:val="fr-FR"/>
        </w:rPr>
      </w:pPr>
      <w:proofErr w:type="gramStart"/>
      <w:r>
        <w:rPr>
          <w:bCs/>
          <w:sz w:val="22"/>
          <w:szCs w:val="22"/>
          <w:lang w:val="fr-FR"/>
        </w:rPr>
        <w:t>si</w:t>
      </w:r>
      <w:proofErr w:type="gramEnd"/>
      <w:r>
        <w:rPr>
          <w:bCs/>
          <w:sz w:val="22"/>
          <w:szCs w:val="22"/>
          <w:lang w:val="fr-FR"/>
        </w:rPr>
        <w:t xml:space="preserve"> ces informations sont ou tombent dans le domaine public sans que la partie destinataire n’en soit responsable; ou</w:t>
      </w:r>
    </w:p>
    <w:p>
      <w:pPr>
        <w:pStyle w:val="Titre3"/>
        <w:numPr>
          <w:ilvl w:val="2"/>
          <w:numId w:val="13"/>
        </w:numPr>
        <w:spacing w:line="240" w:lineRule="auto"/>
        <w:ind w:left="993"/>
        <w:rPr>
          <w:bCs/>
          <w:sz w:val="22"/>
          <w:szCs w:val="22"/>
          <w:lang w:val="fr-FR"/>
        </w:rPr>
      </w:pPr>
      <w:proofErr w:type="gramStart"/>
      <w:r>
        <w:rPr>
          <w:bCs/>
          <w:sz w:val="22"/>
          <w:szCs w:val="22"/>
          <w:lang w:val="fr-FR"/>
        </w:rPr>
        <w:t>as</w:t>
      </w:r>
      <w:proofErr w:type="gramEnd"/>
      <w:r>
        <w:rPr>
          <w:bCs/>
          <w:sz w:val="22"/>
          <w:szCs w:val="22"/>
          <w:lang w:val="fr-FR"/>
        </w:rPr>
        <w:t xml:space="preserve"> </w:t>
      </w:r>
      <w:proofErr w:type="spellStart"/>
      <w:r>
        <w:rPr>
          <w:bCs/>
          <w:sz w:val="22"/>
          <w:szCs w:val="22"/>
          <w:lang w:val="fr-FR"/>
        </w:rPr>
        <w:t>required</w:t>
      </w:r>
      <w:proofErr w:type="spellEnd"/>
      <w:r>
        <w:rPr>
          <w:bCs/>
          <w:sz w:val="22"/>
          <w:szCs w:val="22"/>
          <w:lang w:val="fr-FR"/>
        </w:rPr>
        <w:t xml:space="preserve"> by </w:t>
      </w:r>
      <w:proofErr w:type="spellStart"/>
      <w:r>
        <w:rPr>
          <w:bCs/>
          <w:sz w:val="22"/>
          <w:szCs w:val="22"/>
          <w:lang w:val="fr-FR"/>
        </w:rPr>
        <w:t>law</w:t>
      </w:r>
      <w:proofErr w:type="spellEnd"/>
      <w:r>
        <w:rPr>
          <w:bCs/>
          <w:sz w:val="22"/>
          <w:szCs w:val="22"/>
          <w:lang w:val="fr-FR"/>
        </w:rPr>
        <w:t>.</w:t>
      </w:r>
    </w:p>
    <w:p>
      <w:pPr>
        <w:pStyle w:val="Titre3"/>
        <w:numPr>
          <w:ilvl w:val="2"/>
          <w:numId w:val="13"/>
        </w:numPr>
        <w:spacing w:line="240" w:lineRule="auto"/>
        <w:ind w:left="993"/>
        <w:rPr>
          <w:bCs/>
          <w:sz w:val="22"/>
          <w:szCs w:val="22"/>
          <w:lang w:val="fr-FR"/>
        </w:rPr>
        <w:sectPr>
          <w:footerReference w:type="default" r:id="rId11"/>
          <w:pgSz w:w="11906" w:h="16838"/>
          <w:pgMar w:top="1417" w:right="1417" w:bottom="1417" w:left="1417" w:header="708" w:footer="708" w:gutter="0"/>
          <w:cols w:space="708"/>
          <w:docGrid w:linePitch="360"/>
        </w:sectPr>
      </w:pPr>
      <w:proofErr w:type="gramStart"/>
      <w:r>
        <w:rPr>
          <w:bCs/>
          <w:sz w:val="22"/>
          <w:szCs w:val="22"/>
          <w:lang w:val="fr-FR"/>
        </w:rPr>
        <w:t>comme</w:t>
      </w:r>
      <w:proofErr w:type="gramEnd"/>
      <w:r>
        <w:rPr>
          <w:bCs/>
          <w:sz w:val="22"/>
          <w:szCs w:val="22"/>
          <w:lang w:val="fr-FR"/>
        </w:rPr>
        <w:t xml:space="preserve"> exigé par la loi.</w:t>
      </w:r>
    </w:p>
    <w:p>
      <w:pPr>
        <w:sectPr>
          <w:pgSz w:w="11906" w:h="16838"/>
          <w:pgMar w:top="1417" w:right="1417" w:bottom="1417" w:left="1417" w:header="708" w:footer="708" w:gutter="0"/>
          <w:cols w:space="708"/>
          <w:docGrid w:linePitch="360"/>
        </w:sectPr>
      </w:pPr>
    </w:p>
    <w:p>
      <w:pPr>
        <w:ind w:right="-198"/>
        <w:rPr>
          <w:b/>
          <w:bCs/>
          <w:sz w:val="20"/>
          <w:szCs w:val="20"/>
          <w:lang w:val="en-GB"/>
        </w:rPr>
      </w:pPr>
      <w:r>
        <w:rPr>
          <w:b/>
          <w:bCs/>
          <w:sz w:val="20"/>
          <w:szCs w:val="20"/>
          <w:lang w:val="en-GB"/>
        </w:rPr>
        <w:t>SCHEDULE 2:  LIST OF LICESEE DETAILS FOR 2022-2024</w:t>
      </w:r>
      <w:r>
        <w:rPr>
          <w:bCs/>
          <w:sz w:val="20"/>
          <w:szCs w:val="20"/>
          <w:lang w:val="en-GB"/>
        </w:rPr>
        <w:t xml:space="preserve"> </w:t>
      </w:r>
      <w:r>
        <w:rPr>
          <w:b/>
          <w:bCs/>
          <w:sz w:val="20"/>
          <w:szCs w:val="20"/>
          <w:lang w:val="en-GB"/>
        </w:rPr>
        <w:t>AND THEIR PRICES FOR 2022-2024</w:t>
      </w:r>
    </w:p>
    <w:p>
      <w:pPr>
        <w:rPr>
          <w:b/>
          <w:sz w:val="20"/>
          <w:szCs w:val="20"/>
        </w:rPr>
      </w:pPr>
      <w:r>
        <w:rPr>
          <w:b/>
          <w:bCs/>
          <w:sz w:val="20"/>
          <w:szCs w:val="20"/>
        </w:rPr>
        <w:t xml:space="preserve">ANNEXE 2 </w:t>
      </w:r>
      <w:r>
        <w:t>:</w:t>
      </w:r>
      <w:r>
        <w:rPr>
          <w:b/>
          <w:sz w:val="20"/>
          <w:szCs w:val="20"/>
        </w:rPr>
        <w:t xml:space="preserve"> LISTE DES TITULAIRES DE LICENCE </w:t>
      </w:r>
      <w:r>
        <w:rPr>
          <w:b/>
          <w:bCs/>
          <w:sz w:val="20"/>
          <w:szCs w:val="20"/>
        </w:rPr>
        <w:t>2022-2024</w:t>
      </w:r>
      <w:r>
        <w:rPr>
          <w:bCs/>
          <w:sz w:val="20"/>
          <w:szCs w:val="20"/>
        </w:rPr>
        <w:t xml:space="preserve"> </w:t>
      </w:r>
      <w:r>
        <w:rPr>
          <w:b/>
          <w:sz w:val="20"/>
          <w:szCs w:val="20"/>
        </w:rPr>
        <w:t xml:space="preserve">ET LEURS PRIX </w:t>
      </w:r>
      <w:r>
        <w:rPr>
          <w:b/>
          <w:bCs/>
          <w:sz w:val="20"/>
          <w:szCs w:val="20"/>
        </w:rPr>
        <w:t>POUR 2022-2024</w:t>
      </w:r>
    </w:p>
    <w:p>
      <w:pPr>
        <w:rPr>
          <w:b/>
          <w:sz w:val="20"/>
          <w:szCs w:val="20"/>
        </w:rPr>
      </w:pPr>
    </w:p>
    <w:tbl>
      <w:tblPr>
        <w:tblStyle w:val="Grilledutableau"/>
        <w:tblW w:w="9776" w:type="dxa"/>
        <w:tblLayout w:type="fixed"/>
        <w:tblLook w:val="04A0" w:firstRow="1" w:lastRow="0" w:firstColumn="1" w:lastColumn="0" w:noHBand="0" w:noVBand="1"/>
      </w:tblPr>
      <w:tblGrid>
        <w:gridCol w:w="1555"/>
        <w:gridCol w:w="1275"/>
        <w:gridCol w:w="3402"/>
        <w:gridCol w:w="1701"/>
        <w:gridCol w:w="1843"/>
      </w:tblGrid>
      <w:tr>
        <w:tc>
          <w:tcPr>
            <w:tcW w:w="1555" w:type="dxa"/>
          </w:tcPr>
          <w:p>
            <w:pPr>
              <w:rPr>
                <w:b/>
                <w:sz w:val="20"/>
                <w:szCs w:val="20"/>
              </w:rPr>
            </w:pPr>
            <w:r>
              <w:rPr>
                <w:b/>
                <w:sz w:val="20"/>
                <w:szCs w:val="20"/>
              </w:rPr>
              <w:t>TITULAIRE DE LICENCE</w:t>
            </w:r>
          </w:p>
        </w:tc>
        <w:tc>
          <w:tcPr>
            <w:tcW w:w="1275" w:type="dxa"/>
          </w:tcPr>
          <w:p>
            <w:pPr>
              <w:rPr>
                <w:b/>
                <w:sz w:val="20"/>
                <w:szCs w:val="20"/>
              </w:rPr>
            </w:pPr>
            <w:r>
              <w:rPr>
                <w:b/>
                <w:sz w:val="20"/>
                <w:szCs w:val="20"/>
              </w:rPr>
              <w:t>ADRESSE POSTALE</w:t>
            </w:r>
          </w:p>
        </w:tc>
        <w:tc>
          <w:tcPr>
            <w:tcW w:w="3402" w:type="dxa"/>
          </w:tcPr>
          <w:p>
            <w:pPr>
              <w:rPr>
                <w:b/>
                <w:sz w:val="20"/>
                <w:szCs w:val="20"/>
              </w:rPr>
            </w:pPr>
            <w:r>
              <w:rPr>
                <w:b/>
                <w:sz w:val="20"/>
                <w:szCs w:val="20"/>
              </w:rPr>
              <w:t>CONTACTS,</w:t>
            </w:r>
          </w:p>
          <w:p>
            <w:pPr>
              <w:rPr>
                <w:b/>
                <w:sz w:val="20"/>
                <w:szCs w:val="20"/>
              </w:rPr>
            </w:pPr>
            <w:r>
              <w:rPr>
                <w:b/>
                <w:sz w:val="20"/>
                <w:szCs w:val="20"/>
              </w:rPr>
              <w:t>Noms, tél. et e-mails</w:t>
            </w:r>
          </w:p>
        </w:tc>
        <w:tc>
          <w:tcPr>
            <w:tcW w:w="1701" w:type="dxa"/>
          </w:tcPr>
          <w:p>
            <w:pPr>
              <w:rPr>
                <w:b/>
                <w:sz w:val="20"/>
                <w:szCs w:val="20"/>
              </w:rPr>
            </w:pPr>
            <w:r>
              <w:rPr>
                <w:b/>
                <w:sz w:val="20"/>
                <w:szCs w:val="20"/>
              </w:rPr>
              <w:t xml:space="preserve">PRIX </w:t>
            </w:r>
            <w:r>
              <w:rPr>
                <w:b/>
                <w:bCs/>
                <w:sz w:val="20"/>
                <w:szCs w:val="20"/>
              </w:rPr>
              <w:t>2022-2024</w:t>
            </w:r>
          </w:p>
          <w:p>
            <w:pPr>
              <w:rPr>
                <w:b/>
                <w:sz w:val="20"/>
                <w:szCs w:val="20"/>
              </w:rPr>
            </w:pPr>
            <w:proofErr w:type="gramStart"/>
            <w:r>
              <w:rPr>
                <w:b/>
                <w:sz w:val="20"/>
                <w:szCs w:val="20"/>
              </w:rPr>
              <w:t>en</w:t>
            </w:r>
            <w:proofErr w:type="gramEnd"/>
            <w:r>
              <w:rPr>
                <w:b/>
                <w:sz w:val="20"/>
                <w:szCs w:val="20"/>
              </w:rPr>
              <w:t xml:space="preserve"> € HT</w:t>
            </w:r>
          </w:p>
        </w:tc>
        <w:tc>
          <w:tcPr>
            <w:tcW w:w="1843" w:type="dxa"/>
          </w:tcPr>
          <w:p>
            <w:pPr>
              <w:rPr>
                <w:b/>
                <w:sz w:val="20"/>
                <w:szCs w:val="20"/>
              </w:rPr>
            </w:pPr>
            <w:r>
              <w:rPr>
                <w:b/>
                <w:sz w:val="20"/>
                <w:szCs w:val="20"/>
              </w:rPr>
              <w:t>ADRESSES IP</w:t>
            </w:r>
          </w:p>
        </w:tc>
      </w:tr>
      <w:tr>
        <w:tc>
          <w:tcPr>
            <w:tcW w:w="1555" w:type="dxa"/>
          </w:tcPr>
          <w:p>
            <w:pPr>
              <w:rPr>
                <w:sz w:val="20"/>
                <w:szCs w:val="20"/>
                <w:highlight w:val="yellow"/>
              </w:rPr>
            </w:pPr>
          </w:p>
        </w:tc>
        <w:tc>
          <w:tcPr>
            <w:tcW w:w="1275" w:type="dxa"/>
          </w:tcPr>
          <w:p>
            <w:pPr>
              <w:rPr>
                <w:sz w:val="20"/>
                <w:szCs w:val="20"/>
                <w:highlight w:val="yellow"/>
              </w:rPr>
            </w:pPr>
          </w:p>
        </w:tc>
        <w:tc>
          <w:tcPr>
            <w:tcW w:w="3402" w:type="dxa"/>
          </w:tcPr>
          <w:p>
            <w:pPr>
              <w:rPr>
                <w:sz w:val="20"/>
                <w:szCs w:val="20"/>
                <w:highlight w:val="yellow"/>
              </w:rPr>
            </w:pPr>
            <w:r>
              <w:rPr>
                <w:sz w:val="20"/>
                <w:szCs w:val="20"/>
                <w:highlight w:val="yellow"/>
              </w:rPr>
              <w:t xml:space="preserve"> </w:t>
            </w:r>
          </w:p>
        </w:tc>
        <w:tc>
          <w:tcPr>
            <w:tcW w:w="1701" w:type="dxa"/>
          </w:tcPr>
          <w:p>
            <w:pPr>
              <w:rPr>
                <w:sz w:val="20"/>
                <w:szCs w:val="20"/>
                <w:highlight w:val="yellow"/>
              </w:rPr>
            </w:pPr>
            <w:r>
              <w:rPr>
                <w:sz w:val="20"/>
                <w:szCs w:val="20"/>
                <w:highlight w:val="yellow"/>
              </w:rPr>
              <w:t xml:space="preserve">2022 :     </w:t>
            </w:r>
          </w:p>
          <w:p>
            <w:pPr>
              <w:rPr>
                <w:sz w:val="20"/>
                <w:szCs w:val="20"/>
                <w:highlight w:val="yellow"/>
              </w:rPr>
            </w:pPr>
            <w:r>
              <w:rPr>
                <w:sz w:val="20"/>
                <w:szCs w:val="20"/>
                <w:highlight w:val="yellow"/>
              </w:rPr>
              <w:t xml:space="preserve">2023 :     </w:t>
            </w:r>
          </w:p>
          <w:p>
            <w:pPr>
              <w:rPr>
                <w:sz w:val="20"/>
                <w:szCs w:val="20"/>
                <w:highlight w:val="yellow"/>
              </w:rPr>
            </w:pPr>
            <w:r>
              <w:rPr>
                <w:sz w:val="20"/>
                <w:szCs w:val="20"/>
                <w:highlight w:val="yellow"/>
              </w:rPr>
              <w:t xml:space="preserve">2024 :     </w:t>
            </w:r>
          </w:p>
        </w:tc>
        <w:tc>
          <w:tcPr>
            <w:tcW w:w="1843" w:type="dxa"/>
          </w:tcPr>
          <w:p>
            <w:pPr>
              <w:rPr>
                <w:sz w:val="20"/>
                <w:szCs w:val="20"/>
                <w:highlight w:val="yellow"/>
              </w:rPr>
            </w:pPr>
            <w:r>
              <w:rPr>
                <w:sz w:val="20"/>
                <w:szCs w:val="20"/>
                <w:highlight w:val="yellow"/>
              </w:rPr>
              <w:t xml:space="preserve"> </w:t>
            </w:r>
          </w:p>
        </w:tc>
      </w:tr>
    </w:tbl>
    <w:p>
      <w:pPr>
        <w:ind w:left="425" w:right="-198" w:hanging="425"/>
        <w:rPr>
          <w:rFonts w:ascii="Arial" w:hAnsi="Arial"/>
          <w:color w:val="000000"/>
          <w:sz w:val="20"/>
          <w:szCs w:val="20"/>
        </w:rPr>
      </w:pPr>
    </w:p>
    <w:p>
      <w:pPr>
        <w:ind w:right="-198"/>
        <w:rPr>
          <w:b/>
          <w:bCs/>
          <w:sz w:val="20"/>
          <w:szCs w:val="20"/>
          <w:lang w:val="en-GB"/>
        </w:rPr>
      </w:pPr>
      <w:r>
        <w:rPr>
          <w:b/>
          <w:sz w:val="20"/>
          <w:szCs w:val="20"/>
          <w:lang w:val="en-GB"/>
        </w:rPr>
        <w:t xml:space="preserve">SCHEDULE 3: TITLE LIST </w:t>
      </w:r>
      <w:r>
        <w:rPr>
          <w:b/>
          <w:bCs/>
          <w:sz w:val="20"/>
          <w:szCs w:val="20"/>
          <w:lang w:val="en-GB"/>
        </w:rPr>
        <w:t>IOP 2022-2024</w:t>
      </w:r>
    </w:p>
    <w:p>
      <w:pPr>
        <w:rPr>
          <w:bCs/>
          <w:sz w:val="20"/>
          <w:szCs w:val="20"/>
        </w:rPr>
      </w:pPr>
      <w:r>
        <w:rPr>
          <w:b/>
          <w:bCs/>
          <w:sz w:val="20"/>
          <w:szCs w:val="20"/>
        </w:rPr>
        <w:t>ANNEXE 3 : LISTE DES TITRES IOP 2022-2024</w:t>
      </w:r>
      <w:r>
        <w:rPr>
          <w:bCs/>
          <w:sz w:val="20"/>
          <w:szCs w:val="20"/>
        </w:rPr>
        <w:t xml:space="preserve"> </w:t>
      </w:r>
    </w:p>
    <w:p>
      <w:pPr>
        <w:rPr>
          <w:bCs/>
          <w:sz w:val="20"/>
          <w:szCs w:val="20"/>
        </w:rPr>
      </w:pPr>
    </w:p>
    <w:p>
      <w:pPr>
        <w:jc w:val="both"/>
        <w:rPr>
          <w:sz w:val="20"/>
          <w:szCs w:val="20"/>
        </w:rPr>
      </w:pPr>
    </w:p>
    <w:tbl>
      <w:tblPr>
        <w:tblStyle w:val="Grilledutableau"/>
        <w:tblW w:w="0" w:type="auto"/>
        <w:tblLook w:val="04A0" w:firstRow="1" w:lastRow="0" w:firstColumn="1" w:lastColumn="0" w:noHBand="0" w:noVBand="1"/>
      </w:tblPr>
      <w:tblGrid>
        <w:gridCol w:w="5098"/>
        <w:gridCol w:w="1418"/>
        <w:gridCol w:w="1135"/>
        <w:gridCol w:w="1409"/>
      </w:tblGrid>
      <w:tr>
        <w:trPr>
          <w:trHeight w:val="270"/>
        </w:trPr>
        <w:tc>
          <w:tcPr>
            <w:tcW w:w="5098" w:type="dxa"/>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Titles</w:t>
            </w:r>
            <w:proofErr w:type="spellEnd"/>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E-ISSN</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 xml:space="preserve">Start </w:t>
            </w:r>
            <w:proofErr w:type="spellStart"/>
            <w:r>
              <w:rPr>
                <w:rFonts w:asciiTheme="minorHAnsi" w:hAnsiTheme="minorHAnsi" w:cstheme="minorHAnsi"/>
                <w:b/>
                <w:bCs/>
                <w:sz w:val="20"/>
                <w:szCs w:val="20"/>
              </w:rPr>
              <w:t>year</w:t>
            </w:r>
            <w:proofErr w:type="spellEnd"/>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 xml:space="preserve">End </w:t>
            </w:r>
            <w:proofErr w:type="spellStart"/>
            <w:r>
              <w:rPr>
                <w:rFonts w:asciiTheme="minorHAnsi" w:hAnsiTheme="minorHAnsi" w:cstheme="minorHAnsi"/>
                <w:b/>
                <w:bCs/>
                <w:sz w:val="20"/>
                <w:szCs w:val="20"/>
              </w:rPr>
              <w:t>Year</w:t>
            </w:r>
            <w:proofErr w:type="spellEnd"/>
          </w:p>
        </w:tc>
      </w:tr>
      <w:tr>
        <w:trPr>
          <w:trHeight w:val="270"/>
        </w:trPr>
        <w:tc>
          <w:tcPr>
            <w:tcW w:w="5098" w:type="dxa"/>
            <w:hideMark/>
          </w:tcPr>
          <w:p>
            <w:pPr>
              <w:rPr>
                <w:rFonts w:asciiTheme="minorHAnsi" w:hAnsiTheme="minorHAnsi" w:cstheme="minorHAnsi"/>
                <w:b/>
                <w:bCs/>
                <w:sz w:val="20"/>
                <w:szCs w:val="20"/>
              </w:rPr>
            </w:pPr>
            <w:r>
              <w:rPr>
                <w:rFonts w:asciiTheme="minorHAnsi" w:hAnsiTheme="minorHAnsi" w:cstheme="minorHAnsi"/>
                <w:b/>
                <w:bCs/>
                <w:sz w:val="20"/>
                <w:szCs w:val="20"/>
              </w:rPr>
              <w:t>2D Materials</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2053-1583</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2014</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b/>
                <w:bCs/>
                <w:sz w:val="20"/>
                <w:szCs w:val="20"/>
                <w:lang w:val="en-US"/>
              </w:rPr>
            </w:pPr>
            <w:r>
              <w:rPr>
                <w:rFonts w:asciiTheme="minorHAnsi" w:hAnsiTheme="minorHAnsi" w:cstheme="minorHAnsi"/>
                <w:b/>
                <w:bCs/>
                <w:sz w:val="20"/>
                <w:szCs w:val="20"/>
                <w:lang w:val="en-US"/>
              </w:rPr>
              <w:t>Advances in Natural Sciences: Nanoscience and Nanotechnology**</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2043-6262</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2019</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Applied</w:t>
            </w:r>
            <w:proofErr w:type="spellEnd"/>
            <w:r>
              <w:rPr>
                <w:rFonts w:asciiTheme="minorHAnsi" w:hAnsiTheme="minorHAnsi" w:cstheme="minorHAnsi"/>
                <w:b/>
                <w:bCs/>
                <w:sz w:val="20"/>
                <w:szCs w:val="20"/>
              </w:rPr>
              <w:t xml:space="preserve"> </w:t>
            </w:r>
            <w:proofErr w:type="spellStart"/>
            <w:r>
              <w:rPr>
                <w:rFonts w:asciiTheme="minorHAnsi" w:hAnsiTheme="minorHAnsi" w:cstheme="minorHAnsi"/>
                <w:b/>
                <w:bCs/>
                <w:sz w:val="20"/>
                <w:szCs w:val="20"/>
              </w:rPr>
              <w:t>Physics</w:t>
            </w:r>
            <w:proofErr w:type="spellEnd"/>
            <w:r>
              <w:rPr>
                <w:rFonts w:asciiTheme="minorHAnsi" w:hAnsiTheme="minorHAnsi" w:cstheme="minorHAnsi"/>
                <w:b/>
                <w:bCs/>
                <w:sz w:val="20"/>
                <w:szCs w:val="20"/>
              </w:rPr>
              <w:t xml:space="preserve"> Express</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1882-0786</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2008</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Biofabrication</w:t>
            </w:r>
            <w:proofErr w:type="spellEnd"/>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1758-5090</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2009</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Bioinspiration</w:t>
            </w:r>
            <w:proofErr w:type="spellEnd"/>
            <w:r>
              <w:rPr>
                <w:rFonts w:asciiTheme="minorHAnsi" w:hAnsiTheme="minorHAnsi" w:cstheme="minorHAnsi"/>
                <w:b/>
                <w:bCs/>
                <w:sz w:val="20"/>
                <w:szCs w:val="20"/>
              </w:rPr>
              <w:t xml:space="preserve"> and </w:t>
            </w:r>
            <w:proofErr w:type="spellStart"/>
            <w:r>
              <w:rPr>
                <w:rFonts w:asciiTheme="minorHAnsi" w:hAnsiTheme="minorHAnsi" w:cstheme="minorHAnsi"/>
                <w:b/>
                <w:bCs/>
                <w:sz w:val="20"/>
                <w:szCs w:val="20"/>
              </w:rPr>
              <w:t>Biomimetics</w:t>
            </w:r>
            <w:proofErr w:type="spellEnd"/>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1748-3190</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2006</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Biomedical</w:t>
            </w:r>
            <w:proofErr w:type="spellEnd"/>
            <w:r>
              <w:rPr>
                <w:rFonts w:asciiTheme="minorHAnsi" w:hAnsiTheme="minorHAnsi" w:cstheme="minorHAnsi"/>
                <w:b/>
                <w:bCs/>
                <w:sz w:val="20"/>
                <w:szCs w:val="20"/>
              </w:rPr>
              <w:t xml:space="preserve"> Materials</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1748-605X</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2006</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Biomedical</w:t>
            </w:r>
            <w:proofErr w:type="spellEnd"/>
            <w:r>
              <w:rPr>
                <w:rFonts w:asciiTheme="minorHAnsi" w:hAnsiTheme="minorHAnsi" w:cstheme="minorHAnsi"/>
                <w:b/>
                <w:bCs/>
                <w:sz w:val="20"/>
                <w:szCs w:val="20"/>
              </w:rPr>
              <w:t xml:space="preserve"> </w:t>
            </w:r>
            <w:proofErr w:type="spellStart"/>
            <w:r>
              <w:rPr>
                <w:rFonts w:asciiTheme="minorHAnsi" w:hAnsiTheme="minorHAnsi" w:cstheme="minorHAnsi"/>
                <w:b/>
                <w:bCs/>
                <w:sz w:val="20"/>
                <w:szCs w:val="20"/>
              </w:rPr>
              <w:t>Physics</w:t>
            </w:r>
            <w:proofErr w:type="spellEnd"/>
            <w:r>
              <w:rPr>
                <w:rFonts w:asciiTheme="minorHAnsi" w:hAnsiTheme="minorHAnsi" w:cstheme="minorHAnsi"/>
                <w:b/>
                <w:bCs/>
                <w:sz w:val="20"/>
                <w:szCs w:val="20"/>
              </w:rPr>
              <w:t xml:space="preserve"> &amp; Engineering Express</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2057-1976</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2015</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Chinese</w:t>
            </w:r>
            <w:proofErr w:type="spellEnd"/>
            <w:r>
              <w:rPr>
                <w:rFonts w:asciiTheme="minorHAnsi" w:hAnsiTheme="minorHAnsi" w:cstheme="minorHAnsi"/>
                <w:b/>
                <w:bCs/>
                <w:sz w:val="20"/>
                <w:szCs w:val="20"/>
              </w:rPr>
              <w:t xml:space="preserve"> </w:t>
            </w:r>
            <w:proofErr w:type="spellStart"/>
            <w:r>
              <w:rPr>
                <w:rFonts w:asciiTheme="minorHAnsi" w:hAnsiTheme="minorHAnsi" w:cstheme="minorHAnsi"/>
                <w:b/>
                <w:bCs/>
                <w:sz w:val="20"/>
                <w:szCs w:val="20"/>
              </w:rPr>
              <w:t>Physics</w:t>
            </w:r>
            <w:proofErr w:type="spellEnd"/>
            <w:r>
              <w:rPr>
                <w:rFonts w:asciiTheme="minorHAnsi" w:hAnsiTheme="minorHAnsi" w:cstheme="minorHAnsi"/>
                <w:b/>
                <w:bCs/>
                <w:sz w:val="20"/>
                <w:szCs w:val="20"/>
              </w:rPr>
              <w:t xml:space="preserve"> B</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2058-3834</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2008</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sz w:val="20"/>
                <w:szCs w:val="20"/>
              </w:rPr>
            </w:pPr>
            <w:proofErr w:type="spellStart"/>
            <w:proofErr w:type="gramStart"/>
            <w:r>
              <w:rPr>
                <w:rFonts w:asciiTheme="minorHAnsi" w:hAnsiTheme="minorHAnsi" w:cstheme="minorHAnsi"/>
                <w:sz w:val="20"/>
                <w:szCs w:val="20"/>
              </w:rPr>
              <w:t>Formerly</w:t>
            </w:r>
            <w:proofErr w:type="spellEnd"/>
            <w:r>
              <w:rPr>
                <w:rFonts w:asciiTheme="minorHAnsi" w:hAnsiTheme="minorHAnsi" w:cstheme="minorHAnsi"/>
                <w:sz w:val="20"/>
                <w:szCs w:val="20"/>
              </w:rPr>
              <w:t>:</w:t>
            </w:r>
            <w:proofErr w:type="gramEnd"/>
            <w:r>
              <w:rPr>
                <w:rFonts w:asciiTheme="minorHAnsi" w:hAnsiTheme="minorHAnsi" w:cstheme="minorHAnsi"/>
                <w:sz w:val="20"/>
                <w:szCs w:val="20"/>
              </w:rPr>
              <w:t xml:space="preserve"> </w:t>
            </w:r>
            <w:proofErr w:type="spellStart"/>
            <w:r>
              <w:rPr>
                <w:rFonts w:asciiTheme="minorHAnsi" w:hAnsiTheme="minorHAnsi" w:cstheme="minorHAnsi"/>
                <w:sz w:val="20"/>
                <w:szCs w:val="20"/>
              </w:rPr>
              <w:t>Chinese</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Physics</w:t>
            </w:r>
            <w:proofErr w:type="spellEnd"/>
          </w:p>
        </w:tc>
        <w:tc>
          <w:tcPr>
            <w:tcW w:w="1418" w:type="dxa"/>
            <w:hideMark/>
          </w:tcPr>
          <w:p>
            <w:pPr>
              <w:rPr>
                <w:rFonts w:asciiTheme="minorHAnsi" w:hAnsiTheme="minorHAnsi" w:cstheme="minorHAnsi"/>
                <w:sz w:val="20"/>
                <w:szCs w:val="20"/>
              </w:rPr>
            </w:pPr>
            <w:r>
              <w:rPr>
                <w:rFonts w:asciiTheme="minorHAnsi" w:hAnsiTheme="minorHAnsi" w:cstheme="minorHAnsi"/>
                <w:sz w:val="20"/>
                <w:szCs w:val="20"/>
              </w:rPr>
              <w:t>1741-4199</w:t>
            </w:r>
          </w:p>
        </w:tc>
        <w:tc>
          <w:tcPr>
            <w:tcW w:w="1135" w:type="dxa"/>
            <w:hideMark/>
          </w:tcPr>
          <w:p>
            <w:pPr>
              <w:rPr>
                <w:rFonts w:asciiTheme="minorHAnsi" w:hAnsiTheme="minorHAnsi" w:cstheme="minorHAnsi"/>
                <w:sz w:val="20"/>
                <w:szCs w:val="20"/>
              </w:rPr>
            </w:pPr>
            <w:r>
              <w:rPr>
                <w:rFonts w:asciiTheme="minorHAnsi" w:hAnsiTheme="minorHAnsi" w:cstheme="minorHAnsi"/>
                <w:sz w:val="20"/>
                <w:szCs w:val="20"/>
              </w:rPr>
              <w:t>2000</w:t>
            </w:r>
          </w:p>
        </w:tc>
        <w:tc>
          <w:tcPr>
            <w:tcW w:w="1409" w:type="dxa"/>
            <w:hideMark/>
          </w:tcPr>
          <w:p>
            <w:pPr>
              <w:rPr>
                <w:rFonts w:asciiTheme="minorHAnsi" w:hAnsiTheme="minorHAnsi" w:cstheme="minorHAnsi"/>
                <w:sz w:val="20"/>
                <w:szCs w:val="20"/>
              </w:rPr>
            </w:pPr>
            <w:r>
              <w:rPr>
                <w:rFonts w:asciiTheme="minorHAnsi" w:hAnsiTheme="minorHAnsi" w:cstheme="minorHAnsi"/>
                <w:sz w:val="20"/>
                <w:szCs w:val="20"/>
              </w:rPr>
              <w:t>2007</w:t>
            </w:r>
          </w:p>
        </w:tc>
      </w:tr>
      <w:tr>
        <w:trPr>
          <w:trHeight w:val="260"/>
        </w:trPr>
        <w:tc>
          <w:tcPr>
            <w:tcW w:w="5098" w:type="dxa"/>
            <w:hideMark/>
          </w:tcPr>
          <w:p>
            <w:pPr>
              <w:rPr>
                <w:rFonts w:asciiTheme="minorHAnsi" w:hAnsiTheme="minorHAnsi" w:cstheme="minorHAnsi"/>
                <w:sz w:val="20"/>
                <w:szCs w:val="20"/>
                <w:lang w:val="en-US"/>
              </w:rPr>
            </w:pPr>
            <w:r>
              <w:rPr>
                <w:rFonts w:asciiTheme="minorHAnsi" w:hAnsiTheme="minorHAnsi" w:cstheme="minorHAnsi"/>
                <w:sz w:val="20"/>
                <w:szCs w:val="20"/>
                <w:lang w:val="en-US"/>
              </w:rPr>
              <w:t xml:space="preserve">Formerly: Acta </w:t>
            </w:r>
            <w:proofErr w:type="spellStart"/>
            <w:r>
              <w:rPr>
                <w:rFonts w:asciiTheme="minorHAnsi" w:hAnsiTheme="minorHAnsi" w:cstheme="minorHAnsi"/>
                <w:sz w:val="20"/>
                <w:szCs w:val="20"/>
                <w:lang w:val="en-US"/>
              </w:rPr>
              <w:t>Physica</w:t>
            </w:r>
            <w:proofErr w:type="spellEnd"/>
            <w:r>
              <w:rPr>
                <w:rFonts w:asciiTheme="minorHAnsi" w:hAnsiTheme="minorHAnsi" w:cstheme="minorHAnsi"/>
                <w:sz w:val="20"/>
                <w:szCs w:val="20"/>
                <w:lang w:val="en-US"/>
              </w:rPr>
              <w:t xml:space="preserve"> </w:t>
            </w:r>
            <w:proofErr w:type="spellStart"/>
            <w:r>
              <w:rPr>
                <w:rFonts w:asciiTheme="minorHAnsi" w:hAnsiTheme="minorHAnsi" w:cstheme="minorHAnsi"/>
                <w:sz w:val="20"/>
                <w:szCs w:val="20"/>
                <w:lang w:val="en-US"/>
              </w:rPr>
              <w:t>Sinica</w:t>
            </w:r>
            <w:proofErr w:type="spellEnd"/>
            <w:r>
              <w:rPr>
                <w:rFonts w:asciiTheme="minorHAnsi" w:hAnsiTheme="minorHAnsi" w:cstheme="minorHAnsi"/>
                <w:sz w:val="20"/>
                <w:szCs w:val="20"/>
                <w:lang w:val="en-US"/>
              </w:rPr>
              <w:t xml:space="preserve"> (Overseas Edition)</w:t>
            </w:r>
          </w:p>
        </w:tc>
        <w:tc>
          <w:tcPr>
            <w:tcW w:w="1418" w:type="dxa"/>
            <w:hideMark/>
          </w:tcPr>
          <w:p>
            <w:pPr>
              <w:rPr>
                <w:rFonts w:asciiTheme="minorHAnsi" w:hAnsiTheme="minorHAnsi" w:cstheme="minorHAnsi"/>
                <w:sz w:val="20"/>
                <w:szCs w:val="20"/>
              </w:rPr>
            </w:pPr>
            <w:r>
              <w:rPr>
                <w:rFonts w:asciiTheme="minorHAnsi" w:hAnsiTheme="minorHAnsi" w:cstheme="minorHAnsi"/>
                <w:sz w:val="20"/>
                <w:szCs w:val="20"/>
              </w:rPr>
              <w:t>-</w:t>
            </w:r>
          </w:p>
        </w:tc>
        <w:tc>
          <w:tcPr>
            <w:tcW w:w="1135" w:type="dxa"/>
            <w:hideMark/>
          </w:tcPr>
          <w:p>
            <w:pPr>
              <w:rPr>
                <w:rFonts w:asciiTheme="minorHAnsi" w:hAnsiTheme="minorHAnsi" w:cstheme="minorHAnsi"/>
                <w:sz w:val="20"/>
                <w:szCs w:val="20"/>
              </w:rPr>
            </w:pPr>
            <w:r>
              <w:rPr>
                <w:rFonts w:asciiTheme="minorHAnsi" w:hAnsiTheme="minorHAnsi" w:cstheme="minorHAnsi"/>
                <w:sz w:val="20"/>
                <w:szCs w:val="20"/>
              </w:rPr>
              <w:t>1992</w:t>
            </w:r>
          </w:p>
        </w:tc>
        <w:tc>
          <w:tcPr>
            <w:tcW w:w="1409" w:type="dxa"/>
            <w:hideMark/>
          </w:tcPr>
          <w:p>
            <w:pPr>
              <w:rPr>
                <w:rFonts w:asciiTheme="minorHAnsi" w:hAnsiTheme="minorHAnsi" w:cstheme="minorHAnsi"/>
                <w:sz w:val="20"/>
                <w:szCs w:val="20"/>
              </w:rPr>
            </w:pPr>
            <w:r>
              <w:rPr>
                <w:rFonts w:asciiTheme="minorHAnsi" w:hAnsiTheme="minorHAnsi" w:cstheme="minorHAnsi"/>
                <w:sz w:val="20"/>
                <w:szCs w:val="20"/>
              </w:rPr>
              <w:t>1999</w:t>
            </w:r>
          </w:p>
        </w:tc>
      </w:tr>
      <w:tr>
        <w:trPr>
          <w:trHeight w:val="270"/>
        </w:trPr>
        <w:tc>
          <w:tcPr>
            <w:tcW w:w="5098" w:type="dxa"/>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Chinese</w:t>
            </w:r>
            <w:proofErr w:type="spellEnd"/>
            <w:r>
              <w:rPr>
                <w:rFonts w:asciiTheme="minorHAnsi" w:hAnsiTheme="minorHAnsi" w:cstheme="minorHAnsi"/>
                <w:b/>
                <w:bCs/>
                <w:sz w:val="20"/>
                <w:szCs w:val="20"/>
              </w:rPr>
              <w:t xml:space="preserve"> </w:t>
            </w:r>
            <w:proofErr w:type="spellStart"/>
            <w:r>
              <w:rPr>
                <w:rFonts w:asciiTheme="minorHAnsi" w:hAnsiTheme="minorHAnsi" w:cstheme="minorHAnsi"/>
                <w:b/>
                <w:bCs/>
                <w:sz w:val="20"/>
                <w:szCs w:val="20"/>
              </w:rPr>
              <w:t>Physics</w:t>
            </w:r>
            <w:proofErr w:type="spellEnd"/>
            <w:r>
              <w:rPr>
                <w:rFonts w:asciiTheme="minorHAnsi" w:hAnsiTheme="minorHAnsi" w:cstheme="minorHAnsi"/>
                <w:b/>
                <w:bCs/>
                <w:sz w:val="20"/>
                <w:szCs w:val="20"/>
              </w:rPr>
              <w:t xml:space="preserve"> C</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2058-6132</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2008</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Chinese</w:t>
            </w:r>
            <w:proofErr w:type="spellEnd"/>
            <w:r>
              <w:rPr>
                <w:rFonts w:asciiTheme="minorHAnsi" w:hAnsiTheme="minorHAnsi" w:cstheme="minorHAnsi"/>
                <w:b/>
                <w:bCs/>
                <w:sz w:val="20"/>
                <w:szCs w:val="20"/>
              </w:rPr>
              <w:t xml:space="preserve"> </w:t>
            </w:r>
            <w:proofErr w:type="spellStart"/>
            <w:r>
              <w:rPr>
                <w:rFonts w:asciiTheme="minorHAnsi" w:hAnsiTheme="minorHAnsi" w:cstheme="minorHAnsi"/>
                <w:b/>
                <w:bCs/>
                <w:sz w:val="20"/>
                <w:szCs w:val="20"/>
              </w:rPr>
              <w:t>Physics</w:t>
            </w:r>
            <w:proofErr w:type="spellEnd"/>
            <w:r>
              <w:rPr>
                <w:rFonts w:asciiTheme="minorHAnsi" w:hAnsiTheme="minorHAnsi" w:cstheme="minorHAnsi"/>
                <w:b/>
                <w:bCs/>
                <w:sz w:val="20"/>
                <w:szCs w:val="20"/>
              </w:rPr>
              <w:t xml:space="preserve"> </w:t>
            </w:r>
            <w:proofErr w:type="spellStart"/>
            <w:r>
              <w:rPr>
                <w:rFonts w:asciiTheme="minorHAnsi" w:hAnsiTheme="minorHAnsi" w:cstheme="minorHAnsi"/>
                <w:b/>
                <w:bCs/>
                <w:sz w:val="20"/>
                <w:szCs w:val="20"/>
              </w:rPr>
              <w:t>Letters</w:t>
            </w:r>
            <w:proofErr w:type="spellEnd"/>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1741-3540</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1984</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Classical</w:t>
            </w:r>
            <w:proofErr w:type="spellEnd"/>
            <w:r>
              <w:rPr>
                <w:rFonts w:asciiTheme="minorHAnsi" w:hAnsiTheme="minorHAnsi" w:cstheme="minorHAnsi"/>
                <w:b/>
                <w:bCs/>
                <w:sz w:val="20"/>
                <w:szCs w:val="20"/>
              </w:rPr>
              <w:t xml:space="preserve"> and Quantum Gravity</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1361-6382</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1984</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b/>
                <w:bCs/>
                <w:sz w:val="20"/>
                <w:szCs w:val="20"/>
              </w:rPr>
            </w:pPr>
            <w:r>
              <w:rPr>
                <w:rFonts w:asciiTheme="minorHAnsi" w:hAnsiTheme="minorHAnsi" w:cstheme="minorHAnsi"/>
                <w:b/>
                <w:bCs/>
                <w:sz w:val="20"/>
                <w:szCs w:val="20"/>
              </w:rPr>
              <w:t xml:space="preserve">Communications in </w:t>
            </w:r>
            <w:proofErr w:type="spellStart"/>
            <w:r>
              <w:rPr>
                <w:rFonts w:asciiTheme="minorHAnsi" w:hAnsiTheme="minorHAnsi" w:cstheme="minorHAnsi"/>
                <w:b/>
                <w:bCs/>
                <w:sz w:val="20"/>
                <w:szCs w:val="20"/>
              </w:rPr>
              <w:t>Theoretical</w:t>
            </w:r>
            <w:proofErr w:type="spellEnd"/>
            <w:r>
              <w:rPr>
                <w:rFonts w:asciiTheme="minorHAnsi" w:hAnsiTheme="minorHAnsi" w:cstheme="minorHAnsi"/>
                <w:b/>
                <w:bCs/>
                <w:sz w:val="20"/>
                <w:szCs w:val="20"/>
              </w:rPr>
              <w:t xml:space="preserve"> </w:t>
            </w:r>
            <w:proofErr w:type="spellStart"/>
            <w:r>
              <w:rPr>
                <w:rFonts w:asciiTheme="minorHAnsi" w:hAnsiTheme="minorHAnsi" w:cstheme="minorHAnsi"/>
                <w:b/>
                <w:bCs/>
                <w:sz w:val="20"/>
                <w:szCs w:val="20"/>
              </w:rPr>
              <w:t>Physics</w:t>
            </w:r>
            <w:proofErr w:type="spellEnd"/>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1572-9494</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1982</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b/>
                <w:bCs/>
                <w:sz w:val="20"/>
                <w:szCs w:val="20"/>
              </w:rPr>
            </w:pPr>
            <w:r>
              <w:rPr>
                <w:rFonts w:asciiTheme="minorHAnsi" w:hAnsiTheme="minorHAnsi" w:cstheme="minorHAnsi"/>
                <w:b/>
                <w:bCs/>
                <w:sz w:val="20"/>
                <w:szCs w:val="20"/>
              </w:rPr>
              <w:t xml:space="preserve">Distributed </w:t>
            </w:r>
            <w:proofErr w:type="spellStart"/>
            <w:r>
              <w:rPr>
                <w:rFonts w:asciiTheme="minorHAnsi" w:hAnsiTheme="minorHAnsi" w:cstheme="minorHAnsi"/>
                <w:b/>
                <w:bCs/>
                <w:sz w:val="20"/>
                <w:szCs w:val="20"/>
              </w:rPr>
              <w:t>Systems</w:t>
            </w:r>
            <w:proofErr w:type="spellEnd"/>
            <w:r>
              <w:rPr>
                <w:rFonts w:asciiTheme="minorHAnsi" w:hAnsiTheme="minorHAnsi" w:cstheme="minorHAnsi"/>
                <w:b/>
                <w:bCs/>
                <w:sz w:val="20"/>
                <w:szCs w:val="20"/>
              </w:rPr>
              <w:t xml:space="preserve"> Engineering</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1361-6390</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1993/1994</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1999</w:t>
            </w:r>
          </w:p>
        </w:tc>
      </w:tr>
      <w:tr>
        <w:trPr>
          <w:trHeight w:val="270"/>
        </w:trPr>
        <w:tc>
          <w:tcPr>
            <w:tcW w:w="5098" w:type="dxa"/>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Electronic</w:t>
            </w:r>
            <w:proofErr w:type="spellEnd"/>
            <w:r>
              <w:rPr>
                <w:rFonts w:asciiTheme="minorHAnsi" w:hAnsiTheme="minorHAnsi" w:cstheme="minorHAnsi"/>
                <w:b/>
                <w:bCs/>
                <w:sz w:val="20"/>
                <w:szCs w:val="20"/>
              </w:rPr>
              <w:t xml:space="preserve"> Structure**</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2516-1075</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2019</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European</w:t>
            </w:r>
            <w:proofErr w:type="spellEnd"/>
            <w:r>
              <w:rPr>
                <w:rFonts w:asciiTheme="minorHAnsi" w:hAnsiTheme="minorHAnsi" w:cstheme="minorHAnsi"/>
                <w:b/>
                <w:bCs/>
                <w:sz w:val="20"/>
                <w:szCs w:val="20"/>
              </w:rPr>
              <w:t xml:space="preserve"> Journal of </w:t>
            </w:r>
            <w:proofErr w:type="spellStart"/>
            <w:r>
              <w:rPr>
                <w:rFonts w:asciiTheme="minorHAnsi" w:hAnsiTheme="minorHAnsi" w:cstheme="minorHAnsi"/>
                <w:b/>
                <w:bCs/>
                <w:sz w:val="20"/>
                <w:szCs w:val="20"/>
              </w:rPr>
              <w:t>Physics</w:t>
            </w:r>
            <w:proofErr w:type="spellEnd"/>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1361-6404</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1980</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b/>
                <w:bCs/>
                <w:sz w:val="20"/>
                <w:szCs w:val="20"/>
              </w:rPr>
            </w:pPr>
            <w:r>
              <w:rPr>
                <w:rFonts w:asciiTheme="minorHAnsi" w:hAnsiTheme="minorHAnsi" w:cstheme="minorHAnsi"/>
                <w:b/>
                <w:bCs/>
                <w:sz w:val="20"/>
                <w:szCs w:val="20"/>
              </w:rPr>
              <w:t xml:space="preserve">Flexible and </w:t>
            </w:r>
            <w:proofErr w:type="spellStart"/>
            <w:r>
              <w:rPr>
                <w:rFonts w:asciiTheme="minorHAnsi" w:hAnsiTheme="minorHAnsi" w:cstheme="minorHAnsi"/>
                <w:b/>
                <w:bCs/>
                <w:sz w:val="20"/>
                <w:szCs w:val="20"/>
              </w:rPr>
              <w:t>Printed</w:t>
            </w:r>
            <w:proofErr w:type="spellEnd"/>
            <w:r>
              <w:rPr>
                <w:rFonts w:asciiTheme="minorHAnsi" w:hAnsiTheme="minorHAnsi" w:cstheme="minorHAnsi"/>
                <w:b/>
                <w:bCs/>
                <w:sz w:val="20"/>
                <w:szCs w:val="20"/>
              </w:rPr>
              <w:t xml:space="preserve"> Electronics</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2058-8585</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2016</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Fluid</w:t>
            </w:r>
            <w:proofErr w:type="spellEnd"/>
            <w:r>
              <w:rPr>
                <w:rFonts w:asciiTheme="minorHAnsi" w:hAnsiTheme="minorHAnsi" w:cstheme="minorHAnsi"/>
                <w:b/>
                <w:bCs/>
                <w:sz w:val="20"/>
                <w:szCs w:val="20"/>
              </w:rPr>
              <w:t xml:space="preserve"> Dynamics </w:t>
            </w:r>
            <w:proofErr w:type="spellStart"/>
            <w:r>
              <w:rPr>
                <w:rFonts w:asciiTheme="minorHAnsi" w:hAnsiTheme="minorHAnsi" w:cstheme="minorHAnsi"/>
                <w:b/>
                <w:bCs/>
                <w:sz w:val="20"/>
                <w:szCs w:val="20"/>
              </w:rPr>
              <w:t>Research</w:t>
            </w:r>
            <w:proofErr w:type="spellEnd"/>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1873-7005</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1986</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Functional</w:t>
            </w:r>
            <w:proofErr w:type="spellEnd"/>
            <w:r>
              <w:rPr>
                <w:rFonts w:asciiTheme="minorHAnsi" w:hAnsiTheme="minorHAnsi" w:cstheme="minorHAnsi"/>
                <w:b/>
                <w:bCs/>
                <w:sz w:val="20"/>
                <w:szCs w:val="20"/>
              </w:rPr>
              <w:t xml:space="preserve"> Composites and Structures**</w:t>
            </w:r>
          </w:p>
        </w:tc>
        <w:tc>
          <w:tcPr>
            <w:tcW w:w="1418" w:type="dxa"/>
            <w:hideMark/>
          </w:tcPr>
          <w:p>
            <w:pPr>
              <w:rPr>
                <w:rFonts w:asciiTheme="minorHAnsi" w:hAnsiTheme="minorHAnsi" w:cstheme="minorHAnsi"/>
                <w:sz w:val="20"/>
                <w:szCs w:val="20"/>
              </w:rPr>
            </w:pPr>
            <w:r>
              <w:rPr>
                <w:rFonts w:asciiTheme="minorHAnsi" w:hAnsiTheme="minorHAnsi" w:cstheme="minorHAnsi"/>
                <w:sz w:val="20"/>
                <w:szCs w:val="20"/>
              </w:rPr>
              <w:t>2631-6331</w:t>
            </w:r>
          </w:p>
        </w:tc>
        <w:tc>
          <w:tcPr>
            <w:tcW w:w="1135" w:type="dxa"/>
            <w:hideMark/>
          </w:tcPr>
          <w:p>
            <w:pPr>
              <w:rPr>
                <w:rFonts w:asciiTheme="minorHAnsi" w:hAnsiTheme="minorHAnsi" w:cstheme="minorHAnsi"/>
                <w:sz w:val="20"/>
                <w:szCs w:val="20"/>
              </w:rPr>
            </w:pPr>
            <w:r>
              <w:rPr>
                <w:rFonts w:asciiTheme="minorHAnsi" w:hAnsiTheme="minorHAnsi" w:cstheme="minorHAnsi"/>
                <w:sz w:val="20"/>
                <w:szCs w:val="20"/>
              </w:rPr>
              <w:t>2019</w:t>
            </w:r>
          </w:p>
        </w:tc>
        <w:tc>
          <w:tcPr>
            <w:tcW w:w="1409" w:type="dxa"/>
            <w:hideMark/>
          </w:tcPr>
          <w:p>
            <w:pPr>
              <w:rPr>
                <w:rFonts w:asciiTheme="minorHAnsi" w:hAnsiTheme="minorHAnsi" w:cstheme="minorHAnsi"/>
                <w:sz w:val="20"/>
                <w:szCs w:val="20"/>
              </w:rPr>
            </w:pPr>
            <w:r>
              <w:rPr>
                <w:rFonts w:asciiTheme="minorHAnsi" w:hAnsiTheme="minorHAnsi" w:cstheme="minorHAnsi"/>
                <w:sz w:val="20"/>
                <w:szCs w:val="20"/>
              </w:rPr>
              <w:t>2022</w:t>
            </w:r>
          </w:p>
        </w:tc>
      </w:tr>
      <w:tr>
        <w:trPr>
          <w:trHeight w:val="270"/>
        </w:trPr>
        <w:tc>
          <w:tcPr>
            <w:tcW w:w="5098" w:type="dxa"/>
            <w:hideMark/>
          </w:tcPr>
          <w:p>
            <w:pPr>
              <w:rPr>
                <w:rFonts w:asciiTheme="minorHAnsi" w:hAnsiTheme="minorHAnsi" w:cstheme="minorHAnsi"/>
                <w:b/>
                <w:bCs/>
                <w:sz w:val="20"/>
                <w:szCs w:val="20"/>
              </w:rPr>
            </w:pPr>
            <w:r>
              <w:rPr>
                <w:rFonts w:asciiTheme="minorHAnsi" w:hAnsiTheme="minorHAnsi" w:cstheme="minorHAnsi"/>
                <w:b/>
                <w:bCs/>
                <w:sz w:val="20"/>
                <w:szCs w:val="20"/>
              </w:rPr>
              <w:t xml:space="preserve">Inverse </w:t>
            </w:r>
            <w:proofErr w:type="spellStart"/>
            <w:r>
              <w:rPr>
                <w:rFonts w:asciiTheme="minorHAnsi" w:hAnsiTheme="minorHAnsi" w:cstheme="minorHAnsi"/>
                <w:b/>
                <w:bCs/>
                <w:sz w:val="20"/>
                <w:szCs w:val="20"/>
              </w:rPr>
              <w:t>Problems</w:t>
            </w:r>
            <w:proofErr w:type="spellEnd"/>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1361-6420</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1985</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b/>
                <w:bCs/>
                <w:sz w:val="20"/>
                <w:szCs w:val="20"/>
              </w:rPr>
            </w:pPr>
            <w:proofErr w:type="spellStart"/>
            <w:proofErr w:type="gramStart"/>
            <w:r>
              <w:rPr>
                <w:rFonts w:asciiTheme="minorHAnsi" w:hAnsiTheme="minorHAnsi" w:cstheme="minorHAnsi"/>
                <w:b/>
                <w:bCs/>
                <w:sz w:val="20"/>
                <w:szCs w:val="20"/>
              </w:rPr>
              <w:t>Izvestiya</w:t>
            </w:r>
            <w:proofErr w:type="spellEnd"/>
            <w:r>
              <w:rPr>
                <w:rFonts w:asciiTheme="minorHAnsi" w:hAnsiTheme="minorHAnsi" w:cstheme="minorHAnsi"/>
                <w:b/>
                <w:bCs/>
                <w:sz w:val="20"/>
                <w:szCs w:val="20"/>
              </w:rPr>
              <w:t>:</w:t>
            </w:r>
            <w:proofErr w:type="gramEnd"/>
            <w:r>
              <w:rPr>
                <w:rFonts w:asciiTheme="minorHAnsi" w:hAnsiTheme="minorHAnsi" w:cstheme="minorHAnsi"/>
                <w:b/>
                <w:bCs/>
                <w:sz w:val="20"/>
                <w:szCs w:val="20"/>
              </w:rPr>
              <w:t xml:space="preserve"> </w:t>
            </w:r>
            <w:proofErr w:type="spellStart"/>
            <w:r>
              <w:rPr>
                <w:rFonts w:asciiTheme="minorHAnsi" w:hAnsiTheme="minorHAnsi" w:cstheme="minorHAnsi"/>
                <w:b/>
                <w:bCs/>
                <w:sz w:val="20"/>
                <w:szCs w:val="20"/>
              </w:rPr>
              <w:t>Mathematics</w:t>
            </w:r>
            <w:proofErr w:type="spellEnd"/>
            <w:r>
              <w:rPr>
                <w:rFonts w:asciiTheme="minorHAnsi" w:hAnsiTheme="minorHAnsi" w:cstheme="minorHAnsi"/>
                <w:b/>
                <w:bCs/>
                <w:sz w:val="20"/>
                <w:szCs w:val="20"/>
              </w:rPr>
              <w:t xml:space="preserve"> *</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1468-4810</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1995</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sz w:val="20"/>
                <w:szCs w:val="20"/>
                <w:lang w:val="en-US"/>
              </w:rPr>
            </w:pPr>
            <w:r>
              <w:rPr>
                <w:rFonts w:asciiTheme="minorHAnsi" w:hAnsiTheme="minorHAnsi" w:cstheme="minorHAnsi"/>
                <w:sz w:val="20"/>
                <w:szCs w:val="20"/>
                <w:lang w:val="en-US"/>
              </w:rPr>
              <w:t xml:space="preserve">Formerly: Russian Academy of Sciences: </w:t>
            </w:r>
            <w:proofErr w:type="spellStart"/>
            <w:r>
              <w:rPr>
                <w:rFonts w:asciiTheme="minorHAnsi" w:hAnsiTheme="minorHAnsi" w:cstheme="minorHAnsi"/>
                <w:sz w:val="20"/>
                <w:szCs w:val="20"/>
                <w:lang w:val="en-US"/>
              </w:rPr>
              <w:t>Izvestiya</w:t>
            </w:r>
            <w:proofErr w:type="spellEnd"/>
            <w:r>
              <w:rPr>
                <w:rFonts w:asciiTheme="minorHAnsi" w:hAnsiTheme="minorHAnsi" w:cstheme="minorHAnsi"/>
                <w:sz w:val="20"/>
                <w:szCs w:val="20"/>
                <w:lang w:val="en-US"/>
              </w:rPr>
              <w:t xml:space="preserve"> Mathematics</w:t>
            </w:r>
          </w:p>
        </w:tc>
        <w:tc>
          <w:tcPr>
            <w:tcW w:w="1418" w:type="dxa"/>
            <w:hideMark/>
          </w:tcPr>
          <w:p>
            <w:pPr>
              <w:rPr>
                <w:rFonts w:asciiTheme="minorHAnsi" w:hAnsiTheme="minorHAnsi" w:cstheme="minorHAnsi"/>
                <w:sz w:val="20"/>
                <w:szCs w:val="20"/>
              </w:rPr>
            </w:pPr>
            <w:r>
              <w:rPr>
                <w:rFonts w:asciiTheme="minorHAnsi" w:hAnsiTheme="minorHAnsi" w:cstheme="minorHAnsi"/>
                <w:sz w:val="20"/>
                <w:szCs w:val="20"/>
              </w:rPr>
              <w:t>-</w:t>
            </w:r>
          </w:p>
        </w:tc>
        <w:tc>
          <w:tcPr>
            <w:tcW w:w="1135" w:type="dxa"/>
            <w:hideMark/>
          </w:tcPr>
          <w:p>
            <w:pPr>
              <w:rPr>
                <w:rFonts w:asciiTheme="minorHAnsi" w:hAnsiTheme="minorHAnsi" w:cstheme="minorHAnsi"/>
                <w:sz w:val="20"/>
                <w:szCs w:val="20"/>
              </w:rPr>
            </w:pPr>
            <w:r>
              <w:rPr>
                <w:rFonts w:asciiTheme="minorHAnsi" w:hAnsiTheme="minorHAnsi" w:cstheme="minorHAnsi"/>
                <w:sz w:val="20"/>
                <w:szCs w:val="20"/>
              </w:rPr>
              <w:t>1993</w:t>
            </w:r>
          </w:p>
        </w:tc>
        <w:tc>
          <w:tcPr>
            <w:tcW w:w="1409" w:type="dxa"/>
            <w:hideMark/>
          </w:tcPr>
          <w:p>
            <w:pPr>
              <w:rPr>
                <w:rFonts w:asciiTheme="minorHAnsi" w:hAnsiTheme="minorHAnsi" w:cstheme="minorHAnsi"/>
                <w:sz w:val="20"/>
                <w:szCs w:val="20"/>
              </w:rPr>
            </w:pPr>
            <w:r>
              <w:rPr>
                <w:rFonts w:asciiTheme="minorHAnsi" w:hAnsiTheme="minorHAnsi" w:cstheme="minorHAnsi"/>
                <w:sz w:val="20"/>
                <w:szCs w:val="20"/>
              </w:rPr>
              <w:t>1995</w:t>
            </w:r>
          </w:p>
        </w:tc>
      </w:tr>
      <w:tr>
        <w:trPr>
          <w:trHeight w:val="270"/>
        </w:trPr>
        <w:tc>
          <w:tcPr>
            <w:tcW w:w="5098" w:type="dxa"/>
            <w:hideMark/>
          </w:tcPr>
          <w:p>
            <w:pPr>
              <w:rPr>
                <w:rFonts w:asciiTheme="minorHAnsi" w:hAnsiTheme="minorHAnsi" w:cstheme="minorHAnsi"/>
                <w:sz w:val="20"/>
                <w:szCs w:val="20"/>
                <w:lang w:val="en-US"/>
              </w:rPr>
            </w:pPr>
            <w:r>
              <w:rPr>
                <w:rFonts w:asciiTheme="minorHAnsi" w:hAnsiTheme="minorHAnsi" w:cstheme="minorHAnsi"/>
                <w:sz w:val="20"/>
                <w:szCs w:val="20"/>
                <w:lang w:val="en-US"/>
              </w:rPr>
              <w:t xml:space="preserve">Formerly: Mathematics of the USSR – </w:t>
            </w:r>
            <w:proofErr w:type="spellStart"/>
            <w:r>
              <w:rPr>
                <w:rFonts w:asciiTheme="minorHAnsi" w:hAnsiTheme="minorHAnsi" w:cstheme="minorHAnsi"/>
                <w:sz w:val="20"/>
                <w:szCs w:val="20"/>
                <w:lang w:val="en-US"/>
              </w:rPr>
              <w:t>Izvestiya</w:t>
            </w:r>
            <w:proofErr w:type="spellEnd"/>
          </w:p>
        </w:tc>
        <w:tc>
          <w:tcPr>
            <w:tcW w:w="1418" w:type="dxa"/>
            <w:hideMark/>
          </w:tcPr>
          <w:p>
            <w:pPr>
              <w:rPr>
                <w:rFonts w:asciiTheme="minorHAnsi" w:hAnsiTheme="minorHAnsi" w:cstheme="minorHAnsi"/>
                <w:sz w:val="20"/>
                <w:szCs w:val="20"/>
              </w:rPr>
            </w:pPr>
            <w:r>
              <w:rPr>
                <w:rFonts w:asciiTheme="minorHAnsi" w:hAnsiTheme="minorHAnsi" w:cstheme="minorHAnsi"/>
                <w:sz w:val="20"/>
                <w:szCs w:val="20"/>
              </w:rPr>
              <w:t>-</w:t>
            </w:r>
          </w:p>
        </w:tc>
        <w:tc>
          <w:tcPr>
            <w:tcW w:w="1135" w:type="dxa"/>
            <w:hideMark/>
          </w:tcPr>
          <w:p>
            <w:pPr>
              <w:rPr>
                <w:rFonts w:asciiTheme="minorHAnsi" w:hAnsiTheme="minorHAnsi" w:cstheme="minorHAnsi"/>
                <w:sz w:val="20"/>
                <w:szCs w:val="20"/>
              </w:rPr>
            </w:pPr>
            <w:r>
              <w:rPr>
                <w:rFonts w:asciiTheme="minorHAnsi" w:hAnsiTheme="minorHAnsi" w:cstheme="minorHAnsi"/>
                <w:sz w:val="20"/>
                <w:szCs w:val="20"/>
              </w:rPr>
              <w:t>1967</w:t>
            </w:r>
          </w:p>
        </w:tc>
        <w:tc>
          <w:tcPr>
            <w:tcW w:w="1409" w:type="dxa"/>
            <w:hideMark/>
          </w:tcPr>
          <w:p>
            <w:pPr>
              <w:rPr>
                <w:rFonts w:asciiTheme="minorHAnsi" w:hAnsiTheme="minorHAnsi" w:cstheme="minorHAnsi"/>
                <w:sz w:val="20"/>
                <w:szCs w:val="20"/>
              </w:rPr>
            </w:pPr>
            <w:r>
              <w:rPr>
                <w:rFonts w:asciiTheme="minorHAnsi" w:hAnsiTheme="minorHAnsi" w:cstheme="minorHAnsi"/>
                <w:sz w:val="20"/>
                <w:szCs w:val="20"/>
              </w:rPr>
              <w:t>1992</w:t>
            </w:r>
          </w:p>
        </w:tc>
      </w:tr>
      <w:tr>
        <w:trPr>
          <w:trHeight w:val="270"/>
        </w:trPr>
        <w:tc>
          <w:tcPr>
            <w:tcW w:w="5098" w:type="dxa"/>
            <w:hideMark/>
          </w:tcPr>
          <w:p>
            <w:pPr>
              <w:rPr>
                <w:rFonts w:asciiTheme="minorHAnsi" w:hAnsiTheme="minorHAnsi" w:cstheme="minorHAnsi"/>
                <w:b/>
                <w:bCs/>
                <w:sz w:val="20"/>
                <w:szCs w:val="20"/>
                <w:lang w:val="en-US"/>
              </w:rPr>
            </w:pPr>
            <w:r>
              <w:rPr>
                <w:rFonts w:asciiTheme="minorHAnsi" w:hAnsiTheme="minorHAnsi" w:cstheme="minorHAnsi"/>
                <w:b/>
                <w:bCs/>
                <w:sz w:val="20"/>
                <w:szCs w:val="20"/>
                <w:lang w:val="en-US"/>
              </w:rPr>
              <w:t>Japanese Journal of Applied Physics</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1347-4065</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1962</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b/>
                <w:bCs/>
                <w:sz w:val="20"/>
                <w:szCs w:val="20"/>
              </w:rPr>
            </w:pPr>
            <w:r>
              <w:rPr>
                <w:rFonts w:asciiTheme="minorHAnsi" w:hAnsiTheme="minorHAnsi" w:cstheme="minorHAnsi"/>
                <w:b/>
                <w:bCs/>
                <w:sz w:val="20"/>
                <w:szCs w:val="20"/>
              </w:rPr>
              <w:t xml:space="preserve">Journal of </w:t>
            </w:r>
            <w:proofErr w:type="spellStart"/>
            <w:r>
              <w:rPr>
                <w:rFonts w:asciiTheme="minorHAnsi" w:hAnsiTheme="minorHAnsi" w:cstheme="minorHAnsi"/>
                <w:b/>
                <w:bCs/>
                <w:sz w:val="20"/>
                <w:szCs w:val="20"/>
              </w:rPr>
              <w:t>Breath</w:t>
            </w:r>
            <w:proofErr w:type="spellEnd"/>
            <w:r>
              <w:rPr>
                <w:rFonts w:asciiTheme="minorHAnsi" w:hAnsiTheme="minorHAnsi" w:cstheme="minorHAnsi"/>
                <w:b/>
                <w:bCs/>
                <w:sz w:val="20"/>
                <w:szCs w:val="20"/>
              </w:rPr>
              <w:t xml:space="preserve"> </w:t>
            </w:r>
            <w:proofErr w:type="spellStart"/>
            <w:r>
              <w:rPr>
                <w:rFonts w:asciiTheme="minorHAnsi" w:hAnsiTheme="minorHAnsi" w:cstheme="minorHAnsi"/>
                <w:b/>
                <w:bCs/>
                <w:sz w:val="20"/>
                <w:szCs w:val="20"/>
              </w:rPr>
              <w:t>Research</w:t>
            </w:r>
            <w:proofErr w:type="spellEnd"/>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1752-7163</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2007</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b/>
                <w:bCs/>
                <w:sz w:val="20"/>
                <w:szCs w:val="20"/>
                <w:lang w:val="en-US"/>
              </w:rPr>
            </w:pPr>
            <w:r>
              <w:rPr>
                <w:rFonts w:asciiTheme="minorHAnsi" w:hAnsiTheme="minorHAnsi" w:cstheme="minorHAnsi"/>
                <w:b/>
                <w:bCs/>
                <w:sz w:val="20"/>
                <w:szCs w:val="20"/>
                <w:lang w:val="en-US"/>
              </w:rPr>
              <w:t xml:space="preserve">Journal of Cosmology and </w:t>
            </w:r>
            <w:proofErr w:type="spellStart"/>
            <w:r>
              <w:rPr>
                <w:rFonts w:asciiTheme="minorHAnsi" w:hAnsiTheme="minorHAnsi" w:cstheme="minorHAnsi"/>
                <w:b/>
                <w:bCs/>
                <w:sz w:val="20"/>
                <w:szCs w:val="20"/>
                <w:lang w:val="en-US"/>
              </w:rPr>
              <w:t>Astroparticle</w:t>
            </w:r>
            <w:proofErr w:type="spellEnd"/>
            <w:r>
              <w:rPr>
                <w:rFonts w:asciiTheme="minorHAnsi" w:hAnsiTheme="minorHAnsi" w:cstheme="minorHAnsi"/>
                <w:b/>
                <w:bCs/>
                <w:sz w:val="20"/>
                <w:szCs w:val="20"/>
                <w:lang w:val="en-US"/>
              </w:rPr>
              <w:t xml:space="preserve"> Physics</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1475-7516</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2003</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b/>
                <w:bCs/>
                <w:sz w:val="20"/>
                <w:szCs w:val="20"/>
              </w:rPr>
            </w:pPr>
            <w:r>
              <w:rPr>
                <w:rFonts w:asciiTheme="minorHAnsi" w:hAnsiTheme="minorHAnsi" w:cstheme="minorHAnsi"/>
                <w:b/>
                <w:bCs/>
                <w:sz w:val="20"/>
                <w:szCs w:val="20"/>
              </w:rPr>
              <w:t>Journal of Instrumentation</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1748-0221</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2006</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b/>
                <w:bCs/>
                <w:sz w:val="20"/>
                <w:szCs w:val="20"/>
                <w:lang w:val="en-US"/>
              </w:rPr>
            </w:pPr>
            <w:r>
              <w:rPr>
                <w:rFonts w:asciiTheme="minorHAnsi" w:hAnsiTheme="minorHAnsi" w:cstheme="minorHAnsi"/>
                <w:b/>
                <w:bCs/>
                <w:sz w:val="20"/>
                <w:szCs w:val="20"/>
                <w:lang w:val="en-US"/>
              </w:rPr>
              <w:t>Journal of Micromechanics and Microengineering</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1361-6439</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1991</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b/>
                <w:bCs/>
                <w:sz w:val="20"/>
                <w:szCs w:val="20"/>
              </w:rPr>
            </w:pPr>
            <w:r>
              <w:rPr>
                <w:rFonts w:asciiTheme="minorHAnsi" w:hAnsiTheme="minorHAnsi" w:cstheme="minorHAnsi"/>
                <w:b/>
                <w:bCs/>
                <w:sz w:val="20"/>
                <w:szCs w:val="20"/>
              </w:rPr>
              <w:t>Journal of Neural Engineering</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1741-2552</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2004</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b/>
                <w:bCs/>
                <w:sz w:val="20"/>
                <w:szCs w:val="20"/>
              </w:rPr>
            </w:pPr>
            <w:r>
              <w:rPr>
                <w:rFonts w:asciiTheme="minorHAnsi" w:hAnsiTheme="minorHAnsi" w:cstheme="minorHAnsi"/>
                <w:b/>
                <w:bCs/>
                <w:sz w:val="20"/>
                <w:szCs w:val="20"/>
              </w:rPr>
              <w:t xml:space="preserve">Journal of </w:t>
            </w:r>
            <w:proofErr w:type="spellStart"/>
            <w:r>
              <w:rPr>
                <w:rFonts w:asciiTheme="minorHAnsi" w:hAnsiTheme="minorHAnsi" w:cstheme="minorHAnsi"/>
                <w:b/>
                <w:bCs/>
                <w:sz w:val="20"/>
                <w:szCs w:val="20"/>
              </w:rPr>
              <w:t>Optics</w:t>
            </w:r>
            <w:proofErr w:type="spellEnd"/>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2040-8986</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2010</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sz w:val="20"/>
                <w:szCs w:val="20"/>
                <w:lang w:val="en-US"/>
              </w:rPr>
            </w:pPr>
            <w:r>
              <w:rPr>
                <w:rFonts w:asciiTheme="minorHAnsi" w:hAnsiTheme="minorHAnsi" w:cstheme="minorHAnsi"/>
                <w:sz w:val="20"/>
                <w:szCs w:val="20"/>
                <w:lang w:val="en-US"/>
              </w:rPr>
              <w:t>Formerly: Journal of Optics A: Pure and Applied Optics (from 1999)</w:t>
            </w:r>
          </w:p>
        </w:tc>
        <w:tc>
          <w:tcPr>
            <w:tcW w:w="1418" w:type="dxa"/>
            <w:hideMark/>
          </w:tcPr>
          <w:p>
            <w:pPr>
              <w:rPr>
                <w:rFonts w:asciiTheme="minorHAnsi" w:hAnsiTheme="minorHAnsi" w:cstheme="minorHAnsi"/>
                <w:sz w:val="20"/>
                <w:szCs w:val="20"/>
              </w:rPr>
            </w:pPr>
            <w:r>
              <w:rPr>
                <w:rFonts w:asciiTheme="minorHAnsi" w:hAnsiTheme="minorHAnsi" w:cstheme="minorHAnsi"/>
                <w:sz w:val="20"/>
                <w:szCs w:val="20"/>
              </w:rPr>
              <w:t>1741-3567</w:t>
            </w:r>
          </w:p>
        </w:tc>
        <w:tc>
          <w:tcPr>
            <w:tcW w:w="1135" w:type="dxa"/>
            <w:hideMark/>
          </w:tcPr>
          <w:p>
            <w:pPr>
              <w:rPr>
                <w:rFonts w:asciiTheme="minorHAnsi" w:hAnsiTheme="minorHAnsi" w:cstheme="minorHAnsi"/>
                <w:sz w:val="20"/>
                <w:szCs w:val="20"/>
              </w:rPr>
            </w:pPr>
            <w:r>
              <w:rPr>
                <w:rFonts w:asciiTheme="minorHAnsi" w:hAnsiTheme="minorHAnsi" w:cstheme="minorHAnsi"/>
                <w:sz w:val="20"/>
                <w:szCs w:val="20"/>
              </w:rPr>
              <w:t>1999</w:t>
            </w:r>
          </w:p>
        </w:tc>
        <w:tc>
          <w:tcPr>
            <w:tcW w:w="1409" w:type="dxa"/>
            <w:hideMark/>
          </w:tcPr>
          <w:p>
            <w:pPr>
              <w:rPr>
                <w:rFonts w:asciiTheme="minorHAnsi" w:hAnsiTheme="minorHAnsi" w:cstheme="minorHAnsi"/>
                <w:sz w:val="20"/>
                <w:szCs w:val="20"/>
              </w:rPr>
            </w:pPr>
            <w:r>
              <w:rPr>
                <w:rFonts w:asciiTheme="minorHAnsi" w:hAnsiTheme="minorHAnsi" w:cstheme="minorHAnsi"/>
                <w:sz w:val="20"/>
                <w:szCs w:val="20"/>
              </w:rPr>
              <w:t>2009</w:t>
            </w:r>
          </w:p>
        </w:tc>
      </w:tr>
      <w:tr>
        <w:trPr>
          <w:trHeight w:val="260"/>
        </w:trPr>
        <w:tc>
          <w:tcPr>
            <w:tcW w:w="5098" w:type="dxa"/>
            <w:hideMark/>
          </w:tcPr>
          <w:p>
            <w:pPr>
              <w:rPr>
                <w:rFonts w:asciiTheme="minorHAnsi" w:hAnsiTheme="minorHAnsi" w:cstheme="minorHAnsi"/>
                <w:sz w:val="20"/>
                <w:szCs w:val="20"/>
                <w:lang w:val="en-US"/>
              </w:rPr>
            </w:pPr>
            <w:r>
              <w:rPr>
                <w:rFonts w:asciiTheme="minorHAnsi" w:hAnsiTheme="minorHAnsi" w:cstheme="minorHAnsi"/>
                <w:sz w:val="20"/>
                <w:szCs w:val="20"/>
                <w:lang w:val="en-US"/>
              </w:rPr>
              <w:t xml:space="preserve">(Formed by merger of Journal of Optics (1977-1998) and </w:t>
            </w:r>
          </w:p>
        </w:tc>
        <w:tc>
          <w:tcPr>
            <w:tcW w:w="1418" w:type="dxa"/>
            <w:hideMark/>
          </w:tcPr>
          <w:p>
            <w:pPr>
              <w:rPr>
                <w:rFonts w:asciiTheme="minorHAnsi" w:hAnsiTheme="minorHAnsi" w:cstheme="minorHAnsi"/>
                <w:sz w:val="20"/>
                <w:szCs w:val="20"/>
              </w:rPr>
            </w:pPr>
            <w:r>
              <w:rPr>
                <w:rFonts w:asciiTheme="minorHAnsi" w:hAnsiTheme="minorHAnsi" w:cstheme="minorHAnsi"/>
                <w:sz w:val="20"/>
                <w:szCs w:val="20"/>
              </w:rPr>
              <w:t>-</w:t>
            </w:r>
          </w:p>
        </w:tc>
        <w:tc>
          <w:tcPr>
            <w:tcW w:w="1135" w:type="dxa"/>
            <w:hideMark/>
          </w:tcPr>
          <w:p>
            <w:pPr>
              <w:rPr>
                <w:rFonts w:asciiTheme="minorHAnsi" w:hAnsiTheme="minorHAnsi" w:cstheme="minorHAnsi"/>
                <w:sz w:val="20"/>
                <w:szCs w:val="20"/>
              </w:rPr>
            </w:pPr>
            <w:r>
              <w:rPr>
                <w:rFonts w:asciiTheme="minorHAnsi" w:hAnsiTheme="minorHAnsi" w:cstheme="minorHAnsi"/>
                <w:sz w:val="20"/>
                <w:szCs w:val="20"/>
              </w:rPr>
              <w:t>1977</w:t>
            </w:r>
          </w:p>
        </w:tc>
        <w:tc>
          <w:tcPr>
            <w:tcW w:w="1409" w:type="dxa"/>
            <w:hideMark/>
          </w:tcPr>
          <w:p>
            <w:pPr>
              <w:rPr>
                <w:rFonts w:asciiTheme="minorHAnsi" w:hAnsiTheme="minorHAnsi" w:cstheme="minorHAnsi"/>
                <w:sz w:val="20"/>
                <w:szCs w:val="20"/>
              </w:rPr>
            </w:pPr>
            <w:r>
              <w:rPr>
                <w:rFonts w:asciiTheme="minorHAnsi" w:hAnsiTheme="minorHAnsi" w:cstheme="minorHAnsi"/>
                <w:sz w:val="20"/>
                <w:szCs w:val="20"/>
              </w:rPr>
              <w:t>1998</w:t>
            </w:r>
          </w:p>
        </w:tc>
      </w:tr>
      <w:tr>
        <w:trPr>
          <w:trHeight w:val="500"/>
        </w:trPr>
        <w:tc>
          <w:tcPr>
            <w:tcW w:w="5098" w:type="dxa"/>
            <w:hideMark/>
          </w:tcPr>
          <w:p>
            <w:pPr>
              <w:rPr>
                <w:rFonts w:asciiTheme="minorHAnsi" w:hAnsiTheme="minorHAnsi" w:cstheme="minorHAnsi"/>
                <w:sz w:val="20"/>
                <w:szCs w:val="20"/>
                <w:lang w:val="en-US"/>
              </w:rPr>
            </w:pPr>
            <w:r>
              <w:rPr>
                <w:rFonts w:asciiTheme="minorHAnsi" w:hAnsiTheme="minorHAnsi" w:cstheme="minorHAnsi"/>
                <w:sz w:val="20"/>
                <w:szCs w:val="20"/>
                <w:lang w:val="en-US"/>
              </w:rPr>
              <w:t>Pure and Applied Optics: Journal of the European Optical Society Part A (1992-1998))</w:t>
            </w:r>
          </w:p>
        </w:tc>
        <w:tc>
          <w:tcPr>
            <w:tcW w:w="1418" w:type="dxa"/>
            <w:hideMark/>
          </w:tcPr>
          <w:p>
            <w:pPr>
              <w:rPr>
                <w:rFonts w:asciiTheme="minorHAnsi" w:hAnsiTheme="minorHAnsi" w:cstheme="minorHAnsi"/>
                <w:sz w:val="20"/>
                <w:szCs w:val="20"/>
              </w:rPr>
            </w:pPr>
            <w:r>
              <w:rPr>
                <w:rFonts w:asciiTheme="minorHAnsi" w:hAnsiTheme="minorHAnsi" w:cstheme="minorHAnsi"/>
                <w:sz w:val="20"/>
                <w:szCs w:val="20"/>
              </w:rPr>
              <w:t>1361-6617</w:t>
            </w:r>
          </w:p>
        </w:tc>
        <w:tc>
          <w:tcPr>
            <w:tcW w:w="1135" w:type="dxa"/>
            <w:hideMark/>
          </w:tcPr>
          <w:p>
            <w:pPr>
              <w:rPr>
                <w:rFonts w:asciiTheme="minorHAnsi" w:hAnsiTheme="minorHAnsi" w:cstheme="minorHAnsi"/>
                <w:sz w:val="20"/>
                <w:szCs w:val="20"/>
              </w:rPr>
            </w:pPr>
            <w:r>
              <w:rPr>
                <w:rFonts w:asciiTheme="minorHAnsi" w:hAnsiTheme="minorHAnsi" w:cstheme="minorHAnsi"/>
                <w:sz w:val="20"/>
                <w:szCs w:val="20"/>
              </w:rPr>
              <w:t>1992</w:t>
            </w:r>
          </w:p>
        </w:tc>
        <w:tc>
          <w:tcPr>
            <w:tcW w:w="1409" w:type="dxa"/>
            <w:hideMark/>
          </w:tcPr>
          <w:p>
            <w:pPr>
              <w:rPr>
                <w:rFonts w:asciiTheme="minorHAnsi" w:hAnsiTheme="minorHAnsi" w:cstheme="minorHAnsi"/>
                <w:sz w:val="20"/>
                <w:szCs w:val="20"/>
              </w:rPr>
            </w:pPr>
            <w:r>
              <w:rPr>
                <w:rFonts w:asciiTheme="minorHAnsi" w:hAnsiTheme="minorHAnsi" w:cstheme="minorHAnsi"/>
                <w:sz w:val="20"/>
                <w:szCs w:val="20"/>
              </w:rPr>
              <w:t>1998</w:t>
            </w:r>
          </w:p>
        </w:tc>
      </w:tr>
      <w:tr>
        <w:trPr>
          <w:trHeight w:val="260"/>
        </w:trPr>
        <w:tc>
          <w:tcPr>
            <w:tcW w:w="5098" w:type="dxa"/>
            <w:hideMark/>
          </w:tcPr>
          <w:p>
            <w:pPr>
              <w:rPr>
                <w:rFonts w:asciiTheme="minorHAnsi" w:hAnsiTheme="minorHAnsi" w:cstheme="minorHAnsi"/>
                <w:sz w:val="20"/>
                <w:szCs w:val="20"/>
              </w:rPr>
            </w:pPr>
            <w:proofErr w:type="spellStart"/>
            <w:proofErr w:type="gramStart"/>
            <w:r>
              <w:rPr>
                <w:rFonts w:asciiTheme="minorHAnsi" w:hAnsiTheme="minorHAnsi" w:cstheme="minorHAnsi"/>
                <w:sz w:val="20"/>
                <w:szCs w:val="20"/>
              </w:rPr>
              <w:lastRenderedPageBreak/>
              <w:t>Formerly</w:t>
            </w:r>
            <w:proofErr w:type="spellEnd"/>
            <w:r>
              <w:rPr>
                <w:rFonts w:asciiTheme="minorHAnsi" w:hAnsiTheme="minorHAnsi" w:cstheme="minorHAnsi"/>
                <w:sz w:val="20"/>
                <w:szCs w:val="20"/>
              </w:rPr>
              <w:t>:</w:t>
            </w:r>
            <w:proofErr w:type="gramEnd"/>
            <w:r>
              <w:rPr>
                <w:rFonts w:asciiTheme="minorHAnsi" w:hAnsiTheme="minorHAnsi" w:cstheme="minorHAnsi"/>
                <w:sz w:val="20"/>
                <w:szCs w:val="20"/>
              </w:rPr>
              <w:t xml:space="preserve"> Nouvelle Revue d'Optique (1973- 1976)</w:t>
            </w:r>
          </w:p>
        </w:tc>
        <w:tc>
          <w:tcPr>
            <w:tcW w:w="1418" w:type="dxa"/>
            <w:hideMark/>
          </w:tcPr>
          <w:p>
            <w:pPr>
              <w:rPr>
                <w:rFonts w:asciiTheme="minorHAnsi" w:hAnsiTheme="minorHAnsi" w:cstheme="minorHAnsi"/>
                <w:sz w:val="20"/>
                <w:szCs w:val="20"/>
              </w:rPr>
            </w:pPr>
            <w:r>
              <w:rPr>
                <w:rFonts w:asciiTheme="minorHAnsi" w:hAnsiTheme="minorHAnsi" w:cstheme="minorHAnsi"/>
                <w:sz w:val="20"/>
                <w:szCs w:val="20"/>
              </w:rPr>
              <w:t>-</w:t>
            </w:r>
          </w:p>
        </w:tc>
        <w:tc>
          <w:tcPr>
            <w:tcW w:w="1135" w:type="dxa"/>
            <w:hideMark/>
          </w:tcPr>
          <w:p>
            <w:pPr>
              <w:rPr>
                <w:rFonts w:asciiTheme="minorHAnsi" w:hAnsiTheme="minorHAnsi" w:cstheme="minorHAnsi"/>
                <w:sz w:val="20"/>
                <w:szCs w:val="20"/>
              </w:rPr>
            </w:pPr>
            <w:r>
              <w:rPr>
                <w:rFonts w:asciiTheme="minorHAnsi" w:hAnsiTheme="minorHAnsi" w:cstheme="minorHAnsi"/>
                <w:sz w:val="20"/>
                <w:szCs w:val="20"/>
              </w:rPr>
              <w:t>1973</w:t>
            </w:r>
          </w:p>
        </w:tc>
        <w:tc>
          <w:tcPr>
            <w:tcW w:w="1409" w:type="dxa"/>
            <w:hideMark/>
          </w:tcPr>
          <w:p>
            <w:pPr>
              <w:rPr>
                <w:rFonts w:asciiTheme="minorHAnsi" w:hAnsiTheme="minorHAnsi" w:cstheme="minorHAnsi"/>
                <w:sz w:val="20"/>
                <w:szCs w:val="20"/>
              </w:rPr>
            </w:pPr>
            <w:r>
              <w:rPr>
                <w:rFonts w:asciiTheme="minorHAnsi" w:hAnsiTheme="minorHAnsi" w:cstheme="minorHAnsi"/>
                <w:sz w:val="20"/>
                <w:szCs w:val="20"/>
              </w:rPr>
              <w:t>1976</w:t>
            </w:r>
          </w:p>
        </w:tc>
      </w:tr>
      <w:tr>
        <w:trPr>
          <w:trHeight w:val="270"/>
        </w:trPr>
        <w:tc>
          <w:tcPr>
            <w:tcW w:w="5098" w:type="dxa"/>
            <w:hideMark/>
          </w:tcPr>
          <w:p>
            <w:pPr>
              <w:rPr>
                <w:rFonts w:asciiTheme="minorHAnsi" w:hAnsiTheme="minorHAnsi" w:cstheme="minorHAnsi"/>
                <w:sz w:val="20"/>
                <w:szCs w:val="20"/>
              </w:rPr>
            </w:pPr>
            <w:proofErr w:type="spellStart"/>
            <w:r>
              <w:rPr>
                <w:rFonts w:asciiTheme="minorHAnsi" w:hAnsiTheme="minorHAnsi" w:cstheme="minorHAnsi"/>
                <w:sz w:val="20"/>
                <w:szCs w:val="20"/>
              </w:rPr>
              <w:t>Formerly</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also</w:t>
            </w:r>
            <w:proofErr w:type="spellEnd"/>
            <w:r>
              <w:rPr>
                <w:rFonts w:asciiTheme="minorHAnsi" w:hAnsiTheme="minorHAnsi" w:cstheme="minorHAnsi"/>
                <w:sz w:val="20"/>
                <w:szCs w:val="20"/>
              </w:rPr>
              <w:t xml:space="preserve"> Nouvelle Revue d'Optique Appliquée (1970-1972)</w:t>
            </w:r>
          </w:p>
        </w:tc>
        <w:tc>
          <w:tcPr>
            <w:tcW w:w="1418" w:type="dxa"/>
            <w:hideMark/>
          </w:tcPr>
          <w:p>
            <w:pPr>
              <w:rPr>
                <w:rFonts w:asciiTheme="minorHAnsi" w:hAnsiTheme="minorHAnsi" w:cstheme="minorHAnsi"/>
                <w:sz w:val="20"/>
                <w:szCs w:val="20"/>
              </w:rPr>
            </w:pPr>
            <w:r>
              <w:rPr>
                <w:rFonts w:asciiTheme="minorHAnsi" w:hAnsiTheme="minorHAnsi" w:cstheme="minorHAnsi"/>
                <w:sz w:val="20"/>
                <w:szCs w:val="20"/>
              </w:rPr>
              <w:t>-</w:t>
            </w:r>
          </w:p>
        </w:tc>
        <w:tc>
          <w:tcPr>
            <w:tcW w:w="1135" w:type="dxa"/>
            <w:hideMark/>
          </w:tcPr>
          <w:p>
            <w:pPr>
              <w:rPr>
                <w:rFonts w:asciiTheme="minorHAnsi" w:hAnsiTheme="minorHAnsi" w:cstheme="minorHAnsi"/>
                <w:sz w:val="20"/>
                <w:szCs w:val="20"/>
              </w:rPr>
            </w:pPr>
            <w:r>
              <w:rPr>
                <w:rFonts w:asciiTheme="minorHAnsi" w:hAnsiTheme="minorHAnsi" w:cstheme="minorHAnsi"/>
                <w:sz w:val="20"/>
                <w:szCs w:val="20"/>
              </w:rPr>
              <w:t>1970</w:t>
            </w:r>
          </w:p>
        </w:tc>
        <w:tc>
          <w:tcPr>
            <w:tcW w:w="1409" w:type="dxa"/>
            <w:hideMark/>
          </w:tcPr>
          <w:p>
            <w:pPr>
              <w:rPr>
                <w:rFonts w:asciiTheme="minorHAnsi" w:hAnsiTheme="minorHAnsi" w:cstheme="minorHAnsi"/>
                <w:sz w:val="20"/>
                <w:szCs w:val="20"/>
              </w:rPr>
            </w:pPr>
            <w:r>
              <w:rPr>
                <w:rFonts w:asciiTheme="minorHAnsi" w:hAnsiTheme="minorHAnsi" w:cstheme="minorHAnsi"/>
                <w:sz w:val="20"/>
                <w:szCs w:val="20"/>
              </w:rPr>
              <w:t>1972</w:t>
            </w:r>
          </w:p>
        </w:tc>
      </w:tr>
      <w:tr>
        <w:trPr>
          <w:trHeight w:val="260"/>
        </w:trPr>
        <w:tc>
          <w:tcPr>
            <w:tcW w:w="5098" w:type="dxa"/>
            <w:hideMark/>
          </w:tcPr>
          <w:p>
            <w:pPr>
              <w:rPr>
                <w:rFonts w:asciiTheme="minorHAnsi" w:hAnsiTheme="minorHAnsi" w:cstheme="minorHAnsi"/>
                <w:b/>
                <w:bCs/>
                <w:sz w:val="20"/>
                <w:szCs w:val="20"/>
                <w:lang w:val="en-US"/>
              </w:rPr>
            </w:pPr>
            <w:r>
              <w:rPr>
                <w:rFonts w:asciiTheme="minorHAnsi" w:hAnsiTheme="minorHAnsi" w:cstheme="minorHAnsi"/>
                <w:b/>
                <w:bCs/>
                <w:sz w:val="20"/>
                <w:szCs w:val="20"/>
                <w:lang w:val="en-US"/>
              </w:rPr>
              <w:t>Journal of Physics A: Mathematical and Theoretical (from 2007)</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1751-8121</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2007</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sz w:val="20"/>
                <w:szCs w:val="20"/>
                <w:lang w:val="en-US"/>
              </w:rPr>
            </w:pPr>
            <w:r>
              <w:rPr>
                <w:rFonts w:asciiTheme="minorHAnsi" w:hAnsiTheme="minorHAnsi" w:cstheme="minorHAnsi"/>
                <w:sz w:val="20"/>
                <w:szCs w:val="20"/>
                <w:lang w:val="en-US"/>
              </w:rPr>
              <w:t>Formerly: Journal of Physics A: Mathematical and General (1975-2006)</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1361-6447</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1975</w:t>
            </w:r>
          </w:p>
        </w:tc>
        <w:tc>
          <w:tcPr>
            <w:tcW w:w="1409" w:type="dxa"/>
            <w:hideMark/>
          </w:tcPr>
          <w:p>
            <w:pPr>
              <w:rPr>
                <w:rFonts w:asciiTheme="minorHAnsi" w:hAnsiTheme="minorHAnsi" w:cstheme="minorHAnsi"/>
                <w:sz w:val="20"/>
                <w:szCs w:val="20"/>
              </w:rPr>
            </w:pPr>
            <w:r>
              <w:rPr>
                <w:rFonts w:asciiTheme="minorHAnsi" w:hAnsiTheme="minorHAnsi" w:cstheme="minorHAnsi"/>
                <w:sz w:val="20"/>
                <w:szCs w:val="20"/>
              </w:rPr>
              <w:t>2006</w:t>
            </w:r>
          </w:p>
        </w:tc>
      </w:tr>
      <w:tr>
        <w:trPr>
          <w:trHeight w:val="500"/>
        </w:trPr>
        <w:tc>
          <w:tcPr>
            <w:tcW w:w="5098" w:type="dxa"/>
            <w:hideMark/>
          </w:tcPr>
          <w:p>
            <w:pPr>
              <w:rPr>
                <w:rFonts w:asciiTheme="minorHAnsi" w:hAnsiTheme="minorHAnsi" w:cstheme="minorHAnsi"/>
                <w:sz w:val="20"/>
                <w:szCs w:val="20"/>
                <w:lang w:val="en-US"/>
              </w:rPr>
            </w:pPr>
            <w:r>
              <w:rPr>
                <w:rFonts w:asciiTheme="minorHAnsi" w:hAnsiTheme="minorHAnsi" w:cstheme="minorHAnsi"/>
                <w:sz w:val="20"/>
                <w:szCs w:val="20"/>
                <w:lang w:val="en-US"/>
              </w:rPr>
              <w:t xml:space="preserve">Formerly: Journal of Physics A: Mathematical, Nuclear and General (1973-1974) </w:t>
            </w:r>
          </w:p>
        </w:tc>
        <w:tc>
          <w:tcPr>
            <w:tcW w:w="1418" w:type="dxa"/>
            <w:hideMark/>
          </w:tcPr>
          <w:p>
            <w:pPr>
              <w:rPr>
                <w:rFonts w:asciiTheme="minorHAnsi" w:hAnsiTheme="minorHAnsi" w:cstheme="minorHAnsi"/>
                <w:sz w:val="20"/>
                <w:szCs w:val="20"/>
              </w:rPr>
            </w:pPr>
            <w:r>
              <w:rPr>
                <w:rFonts w:asciiTheme="minorHAnsi" w:hAnsiTheme="minorHAnsi" w:cstheme="minorHAnsi"/>
                <w:sz w:val="20"/>
                <w:szCs w:val="20"/>
              </w:rPr>
              <w:t>-</w:t>
            </w:r>
          </w:p>
        </w:tc>
        <w:tc>
          <w:tcPr>
            <w:tcW w:w="1135" w:type="dxa"/>
            <w:hideMark/>
          </w:tcPr>
          <w:p>
            <w:pPr>
              <w:rPr>
                <w:rFonts w:asciiTheme="minorHAnsi" w:hAnsiTheme="minorHAnsi" w:cstheme="minorHAnsi"/>
                <w:sz w:val="20"/>
                <w:szCs w:val="20"/>
              </w:rPr>
            </w:pPr>
            <w:r>
              <w:rPr>
                <w:rFonts w:asciiTheme="minorHAnsi" w:hAnsiTheme="minorHAnsi" w:cstheme="minorHAnsi"/>
                <w:sz w:val="20"/>
                <w:szCs w:val="20"/>
              </w:rPr>
              <w:t>1973</w:t>
            </w:r>
          </w:p>
        </w:tc>
        <w:tc>
          <w:tcPr>
            <w:tcW w:w="1409" w:type="dxa"/>
            <w:hideMark/>
          </w:tcPr>
          <w:p>
            <w:pPr>
              <w:rPr>
                <w:rFonts w:asciiTheme="minorHAnsi" w:hAnsiTheme="minorHAnsi" w:cstheme="minorHAnsi"/>
                <w:sz w:val="20"/>
                <w:szCs w:val="20"/>
              </w:rPr>
            </w:pPr>
            <w:r>
              <w:rPr>
                <w:rFonts w:asciiTheme="minorHAnsi" w:hAnsiTheme="minorHAnsi" w:cstheme="minorHAnsi"/>
                <w:sz w:val="20"/>
                <w:szCs w:val="20"/>
              </w:rPr>
              <w:t>1974</w:t>
            </w:r>
          </w:p>
        </w:tc>
      </w:tr>
      <w:tr>
        <w:trPr>
          <w:trHeight w:val="270"/>
        </w:trPr>
        <w:tc>
          <w:tcPr>
            <w:tcW w:w="5098" w:type="dxa"/>
            <w:hideMark/>
          </w:tcPr>
          <w:p>
            <w:pPr>
              <w:rPr>
                <w:rFonts w:asciiTheme="minorHAnsi" w:hAnsiTheme="minorHAnsi" w:cstheme="minorHAnsi"/>
                <w:sz w:val="20"/>
                <w:szCs w:val="20"/>
                <w:lang w:val="en-US"/>
              </w:rPr>
            </w:pPr>
            <w:r>
              <w:rPr>
                <w:rFonts w:asciiTheme="minorHAnsi" w:hAnsiTheme="minorHAnsi" w:cstheme="minorHAnsi"/>
                <w:sz w:val="20"/>
                <w:szCs w:val="20"/>
                <w:lang w:val="en-US"/>
              </w:rPr>
              <w:t>Formerly: Journal of Physics A: General Physics (1968-1972</w:t>
            </w:r>
            <w:r>
              <w:rPr>
                <w:rFonts w:asciiTheme="minorHAnsi" w:hAnsiTheme="minorHAnsi" w:cstheme="minorHAnsi"/>
                <w:b/>
                <w:bCs/>
                <w:sz w:val="20"/>
                <w:szCs w:val="20"/>
                <w:lang w:val="en-US"/>
              </w:rPr>
              <w:t>)</w:t>
            </w:r>
          </w:p>
        </w:tc>
        <w:tc>
          <w:tcPr>
            <w:tcW w:w="1418" w:type="dxa"/>
            <w:hideMark/>
          </w:tcPr>
          <w:p>
            <w:pPr>
              <w:rPr>
                <w:rFonts w:asciiTheme="minorHAnsi" w:hAnsiTheme="minorHAnsi" w:cstheme="minorHAnsi"/>
                <w:sz w:val="20"/>
                <w:szCs w:val="20"/>
              </w:rPr>
            </w:pPr>
            <w:r>
              <w:rPr>
                <w:rFonts w:asciiTheme="minorHAnsi" w:hAnsiTheme="minorHAnsi" w:cstheme="minorHAnsi"/>
                <w:sz w:val="20"/>
                <w:szCs w:val="20"/>
              </w:rPr>
              <w:t>-</w:t>
            </w:r>
          </w:p>
        </w:tc>
        <w:tc>
          <w:tcPr>
            <w:tcW w:w="1135" w:type="dxa"/>
            <w:hideMark/>
          </w:tcPr>
          <w:p>
            <w:pPr>
              <w:rPr>
                <w:rFonts w:asciiTheme="minorHAnsi" w:hAnsiTheme="minorHAnsi" w:cstheme="minorHAnsi"/>
                <w:sz w:val="20"/>
                <w:szCs w:val="20"/>
              </w:rPr>
            </w:pPr>
            <w:r>
              <w:rPr>
                <w:rFonts w:asciiTheme="minorHAnsi" w:hAnsiTheme="minorHAnsi" w:cstheme="minorHAnsi"/>
                <w:sz w:val="20"/>
                <w:szCs w:val="20"/>
              </w:rPr>
              <w:t>1968</w:t>
            </w:r>
          </w:p>
        </w:tc>
        <w:tc>
          <w:tcPr>
            <w:tcW w:w="1409" w:type="dxa"/>
            <w:hideMark/>
          </w:tcPr>
          <w:p>
            <w:pPr>
              <w:rPr>
                <w:rFonts w:asciiTheme="minorHAnsi" w:hAnsiTheme="minorHAnsi" w:cstheme="minorHAnsi"/>
                <w:sz w:val="20"/>
                <w:szCs w:val="20"/>
              </w:rPr>
            </w:pPr>
            <w:r>
              <w:rPr>
                <w:rFonts w:asciiTheme="minorHAnsi" w:hAnsiTheme="minorHAnsi" w:cstheme="minorHAnsi"/>
                <w:sz w:val="20"/>
                <w:szCs w:val="20"/>
              </w:rPr>
              <w:t>1972</w:t>
            </w:r>
          </w:p>
        </w:tc>
      </w:tr>
      <w:tr>
        <w:trPr>
          <w:trHeight w:val="260"/>
        </w:trPr>
        <w:tc>
          <w:tcPr>
            <w:tcW w:w="5098" w:type="dxa"/>
            <w:hideMark/>
          </w:tcPr>
          <w:p>
            <w:pPr>
              <w:rPr>
                <w:rFonts w:asciiTheme="minorHAnsi" w:hAnsiTheme="minorHAnsi" w:cstheme="minorHAnsi"/>
                <w:b/>
                <w:bCs/>
                <w:sz w:val="20"/>
                <w:szCs w:val="20"/>
                <w:lang w:val="en-US"/>
              </w:rPr>
            </w:pPr>
            <w:r>
              <w:rPr>
                <w:rFonts w:asciiTheme="minorHAnsi" w:hAnsiTheme="minorHAnsi" w:cstheme="minorHAnsi"/>
                <w:b/>
                <w:bCs/>
                <w:sz w:val="20"/>
                <w:szCs w:val="20"/>
                <w:lang w:val="en-US"/>
              </w:rPr>
              <w:t>Journal of Physics B: Atomic, Molecular and Optical Physics (from 1988)</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1361-6455</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1988</w:t>
            </w:r>
          </w:p>
        </w:tc>
        <w:tc>
          <w:tcPr>
            <w:tcW w:w="1409"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sz w:val="20"/>
                <w:szCs w:val="20"/>
                <w:lang w:val="en-US"/>
              </w:rPr>
            </w:pPr>
            <w:r>
              <w:rPr>
                <w:rFonts w:asciiTheme="minorHAnsi" w:hAnsiTheme="minorHAnsi" w:cstheme="minorHAnsi"/>
                <w:sz w:val="20"/>
                <w:szCs w:val="20"/>
                <w:lang w:val="en-US"/>
              </w:rPr>
              <w:t>Formerly: Journal of Physics B: Atomic and Molecular Physics (1970-1987)</w:t>
            </w:r>
          </w:p>
        </w:tc>
        <w:tc>
          <w:tcPr>
            <w:tcW w:w="1418" w:type="dxa"/>
            <w:hideMark/>
          </w:tcPr>
          <w:p>
            <w:pPr>
              <w:rPr>
                <w:rFonts w:asciiTheme="minorHAnsi" w:hAnsiTheme="minorHAnsi" w:cstheme="minorHAnsi"/>
                <w:sz w:val="20"/>
                <w:szCs w:val="20"/>
              </w:rPr>
            </w:pPr>
            <w:r>
              <w:rPr>
                <w:rFonts w:asciiTheme="minorHAnsi" w:hAnsiTheme="minorHAnsi" w:cstheme="minorHAnsi"/>
                <w:sz w:val="20"/>
                <w:szCs w:val="20"/>
              </w:rPr>
              <w:t>-</w:t>
            </w:r>
          </w:p>
        </w:tc>
        <w:tc>
          <w:tcPr>
            <w:tcW w:w="1135" w:type="dxa"/>
            <w:hideMark/>
          </w:tcPr>
          <w:p>
            <w:pPr>
              <w:rPr>
                <w:rFonts w:asciiTheme="minorHAnsi" w:hAnsiTheme="minorHAnsi" w:cstheme="minorHAnsi"/>
                <w:sz w:val="20"/>
                <w:szCs w:val="20"/>
              </w:rPr>
            </w:pPr>
            <w:r>
              <w:rPr>
                <w:rFonts w:asciiTheme="minorHAnsi" w:hAnsiTheme="minorHAnsi" w:cstheme="minorHAnsi"/>
                <w:sz w:val="20"/>
                <w:szCs w:val="20"/>
              </w:rPr>
              <w:t>1968</w:t>
            </w:r>
          </w:p>
        </w:tc>
        <w:tc>
          <w:tcPr>
            <w:tcW w:w="1409" w:type="dxa"/>
            <w:noWrap/>
            <w:hideMark/>
          </w:tcPr>
          <w:p>
            <w:pPr>
              <w:rPr>
                <w:rFonts w:asciiTheme="minorHAnsi" w:hAnsiTheme="minorHAnsi" w:cstheme="minorHAnsi"/>
                <w:sz w:val="20"/>
                <w:szCs w:val="20"/>
              </w:rPr>
            </w:pPr>
            <w:r>
              <w:rPr>
                <w:rFonts w:asciiTheme="minorHAnsi" w:hAnsiTheme="minorHAnsi" w:cstheme="minorHAnsi"/>
                <w:sz w:val="20"/>
                <w:szCs w:val="20"/>
              </w:rPr>
              <w:t>1987</w:t>
            </w:r>
          </w:p>
        </w:tc>
      </w:tr>
      <w:tr>
        <w:trPr>
          <w:trHeight w:val="500"/>
        </w:trPr>
        <w:tc>
          <w:tcPr>
            <w:tcW w:w="5098" w:type="dxa"/>
            <w:hideMark/>
          </w:tcPr>
          <w:p>
            <w:pPr>
              <w:rPr>
                <w:rFonts w:asciiTheme="minorHAnsi" w:hAnsiTheme="minorHAnsi" w:cstheme="minorHAnsi"/>
                <w:sz w:val="20"/>
                <w:szCs w:val="20"/>
                <w:lang w:val="en-US"/>
              </w:rPr>
            </w:pPr>
            <w:r>
              <w:rPr>
                <w:rFonts w:asciiTheme="minorHAnsi" w:hAnsiTheme="minorHAnsi" w:cstheme="minorHAnsi"/>
                <w:sz w:val="20"/>
                <w:szCs w:val="20"/>
                <w:lang w:val="en-US"/>
              </w:rPr>
              <w:t xml:space="preserve">In 2006 this journal merged with Journal of Optics B: Quantum &amp; Semiclassical </w:t>
            </w:r>
            <w:proofErr w:type="gramStart"/>
            <w:r>
              <w:rPr>
                <w:rFonts w:asciiTheme="minorHAnsi" w:hAnsiTheme="minorHAnsi" w:cstheme="minorHAnsi"/>
                <w:sz w:val="20"/>
                <w:szCs w:val="20"/>
                <w:lang w:val="en-US"/>
              </w:rPr>
              <w:t>Optics(</w:t>
            </w:r>
            <w:proofErr w:type="gramEnd"/>
            <w:r>
              <w:rPr>
                <w:rFonts w:asciiTheme="minorHAnsi" w:hAnsiTheme="minorHAnsi" w:cstheme="minorHAnsi"/>
                <w:sz w:val="20"/>
                <w:szCs w:val="20"/>
                <w:lang w:val="en-US"/>
              </w:rPr>
              <w:t>1999-2005)</w:t>
            </w:r>
          </w:p>
        </w:tc>
        <w:tc>
          <w:tcPr>
            <w:tcW w:w="1418" w:type="dxa"/>
            <w:hideMark/>
          </w:tcPr>
          <w:p>
            <w:pPr>
              <w:rPr>
                <w:rFonts w:asciiTheme="minorHAnsi" w:hAnsiTheme="minorHAnsi" w:cstheme="minorHAnsi"/>
                <w:sz w:val="20"/>
                <w:szCs w:val="20"/>
              </w:rPr>
            </w:pPr>
            <w:r>
              <w:rPr>
                <w:rFonts w:asciiTheme="minorHAnsi" w:hAnsiTheme="minorHAnsi" w:cstheme="minorHAnsi"/>
                <w:sz w:val="20"/>
                <w:szCs w:val="20"/>
              </w:rPr>
              <w:t>1741-3575</w:t>
            </w:r>
          </w:p>
        </w:tc>
        <w:tc>
          <w:tcPr>
            <w:tcW w:w="1135" w:type="dxa"/>
            <w:hideMark/>
          </w:tcPr>
          <w:p>
            <w:pPr>
              <w:rPr>
                <w:rFonts w:asciiTheme="minorHAnsi" w:hAnsiTheme="minorHAnsi" w:cstheme="minorHAnsi"/>
                <w:sz w:val="20"/>
                <w:szCs w:val="20"/>
              </w:rPr>
            </w:pPr>
            <w:r>
              <w:rPr>
                <w:rFonts w:asciiTheme="minorHAnsi" w:hAnsiTheme="minorHAnsi" w:cstheme="minorHAnsi"/>
                <w:sz w:val="20"/>
                <w:szCs w:val="20"/>
              </w:rPr>
              <w:t>1999</w:t>
            </w:r>
          </w:p>
        </w:tc>
        <w:tc>
          <w:tcPr>
            <w:tcW w:w="1409" w:type="dxa"/>
            <w:noWrap/>
            <w:hideMark/>
          </w:tcPr>
          <w:p>
            <w:pPr>
              <w:rPr>
                <w:rFonts w:asciiTheme="minorHAnsi" w:hAnsiTheme="minorHAnsi" w:cstheme="minorHAnsi"/>
                <w:sz w:val="20"/>
                <w:szCs w:val="20"/>
              </w:rPr>
            </w:pPr>
            <w:r>
              <w:rPr>
                <w:rFonts w:asciiTheme="minorHAnsi" w:hAnsiTheme="minorHAnsi" w:cstheme="minorHAnsi"/>
                <w:sz w:val="20"/>
                <w:szCs w:val="20"/>
              </w:rPr>
              <w:t>2005</w:t>
            </w:r>
          </w:p>
        </w:tc>
      </w:tr>
      <w:tr>
        <w:trPr>
          <w:trHeight w:val="500"/>
        </w:trPr>
        <w:tc>
          <w:tcPr>
            <w:tcW w:w="5098" w:type="dxa"/>
            <w:hideMark/>
          </w:tcPr>
          <w:p>
            <w:pPr>
              <w:rPr>
                <w:rFonts w:asciiTheme="minorHAnsi" w:hAnsiTheme="minorHAnsi" w:cstheme="minorHAnsi"/>
                <w:sz w:val="20"/>
                <w:szCs w:val="20"/>
                <w:lang w:val="en-US"/>
              </w:rPr>
            </w:pPr>
            <w:r>
              <w:rPr>
                <w:rFonts w:asciiTheme="minorHAnsi" w:hAnsiTheme="minorHAnsi" w:cstheme="minorHAnsi"/>
                <w:sz w:val="20"/>
                <w:szCs w:val="20"/>
                <w:lang w:val="en-US"/>
              </w:rPr>
              <w:t>Formerly Quantum and Semiclassical Optics: Journal of the European Optical Society Part B (1995-1998)</w:t>
            </w:r>
          </w:p>
        </w:tc>
        <w:tc>
          <w:tcPr>
            <w:tcW w:w="1418" w:type="dxa"/>
            <w:hideMark/>
          </w:tcPr>
          <w:p>
            <w:pPr>
              <w:rPr>
                <w:rFonts w:asciiTheme="minorHAnsi" w:hAnsiTheme="minorHAnsi" w:cstheme="minorHAnsi"/>
                <w:sz w:val="20"/>
                <w:szCs w:val="20"/>
              </w:rPr>
            </w:pPr>
            <w:r>
              <w:rPr>
                <w:rFonts w:asciiTheme="minorHAnsi" w:hAnsiTheme="minorHAnsi" w:cstheme="minorHAnsi"/>
                <w:sz w:val="20"/>
                <w:szCs w:val="20"/>
              </w:rPr>
              <w:t>1361-6625</w:t>
            </w:r>
          </w:p>
        </w:tc>
        <w:tc>
          <w:tcPr>
            <w:tcW w:w="1135" w:type="dxa"/>
            <w:hideMark/>
          </w:tcPr>
          <w:p>
            <w:pPr>
              <w:rPr>
                <w:rFonts w:asciiTheme="minorHAnsi" w:hAnsiTheme="minorHAnsi" w:cstheme="minorHAnsi"/>
                <w:sz w:val="20"/>
                <w:szCs w:val="20"/>
              </w:rPr>
            </w:pPr>
            <w:r>
              <w:rPr>
                <w:rFonts w:asciiTheme="minorHAnsi" w:hAnsiTheme="minorHAnsi" w:cstheme="minorHAnsi"/>
                <w:sz w:val="20"/>
                <w:szCs w:val="20"/>
              </w:rPr>
              <w:t>1995</w:t>
            </w:r>
          </w:p>
        </w:tc>
        <w:tc>
          <w:tcPr>
            <w:tcW w:w="1409" w:type="dxa"/>
            <w:noWrap/>
            <w:hideMark/>
          </w:tcPr>
          <w:p>
            <w:pPr>
              <w:rPr>
                <w:rFonts w:asciiTheme="minorHAnsi" w:hAnsiTheme="minorHAnsi" w:cstheme="minorHAnsi"/>
                <w:sz w:val="20"/>
                <w:szCs w:val="20"/>
              </w:rPr>
            </w:pPr>
            <w:r>
              <w:rPr>
                <w:rFonts w:asciiTheme="minorHAnsi" w:hAnsiTheme="minorHAnsi" w:cstheme="minorHAnsi"/>
                <w:sz w:val="20"/>
                <w:szCs w:val="20"/>
              </w:rPr>
              <w:t>1998</w:t>
            </w:r>
          </w:p>
        </w:tc>
      </w:tr>
      <w:tr>
        <w:trPr>
          <w:trHeight w:val="510"/>
        </w:trPr>
        <w:tc>
          <w:tcPr>
            <w:tcW w:w="5098" w:type="dxa"/>
            <w:hideMark/>
          </w:tcPr>
          <w:p>
            <w:pPr>
              <w:rPr>
                <w:rFonts w:asciiTheme="minorHAnsi" w:hAnsiTheme="minorHAnsi" w:cstheme="minorHAnsi"/>
                <w:sz w:val="20"/>
                <w:szCs w:val="20"/>
                <w:lang w:val="en-US"/>
              </w:rPr>
            </w:pPr>
            <w:r>
              <w:rPr>
                <w:rFonts w:asciiTheme="minorHAnsi" w:hAnsiTheme="minorHAnsi" w:cstheme="minorHAnsi"/>
                <w:sz w:val="20"/>
                <w:szCs w:val="20"/>
                <w:lang w:val="en-US"/>
              </w:rPr>
              <w:t>Formerly Quantum Optics: Journal of the European Optical Society Part B (1989-1994)</w:t>
            </w:r>
          </w:p>
        </w:tc>
        <w:tc>
          <w:tcPr>
            <w:tcW w:w="1418" w:type="dxa"/>
            <w:hideMark/>
          </w:tcPr>
          <w:p>
            <w:pPr>
              <w:rPr>
                <w:rFonts w:asciiTheme="minorHAnsi" w:hAnsiTheme="minorHAnsi" w:cstheme="minorHAnsi"/>
                <w:sz w:val="20"/>
                <w:szCs w:val="20"/>
              </w:rPr>
            </w:pPr>
            <w:r>
              <w:rPr>
                <w:rFonts w:asciiTheme="minorHAnsi" w:hAnsiTheme="minorHAnsi" w:cstheme="minorHAnsi"/>
                <w:sz w:val="20"/>
                <w:szCs w:val="20"/>
              </w:rPr>
              <w:t>-</w:t>
            </w:r>
          </w:p>
        </w:tc>
        <w:tc>
          <w:tcPr>
            <w:tcW w:w="1135" w:type="dxa"/>
            <w:hideMark/>
          </w:tcPr>
          <w:p>
            <w:pPr>
              <w:rPr>
                <w:rFonts w:asciiTheme="minorHAnsi" w:hAnsiTheme="minorHAnsi" w:cstheme="minorHAnsi"/>
                <w:sz w:val="20"/>
                <w:szCs w:val="20"/>
              </w:rPr>
            </w:pPr>
            <w:r>
              <w:rPr>
                <w:rFonts w:asciiTheme="minorHAnsi" w:hAnsiTheme="minorHAnsi" w:cstheme="minorHAnsi"/>
                <w:sz w:val="20"/>
                <w:szCs w:val="20"/>
              </w:rPr>
              <w:t>1989</w:t>
            </w:r>
          </w:p>
        </w:tc>
        <w:tc>
          <w:tcPr>
            <w:tcW w:w="1409" w:type="dxa"/>
            <w:noWrap/>
            <w:hideMark/>
          </w:tcPr>
          <w:p>
            <w:pPr>
              <w:rPr>
                <w:rFonts w:asciiTheme="minorHAnsi" w:hAnsiTheme="minorHAnsi" w:cstheme="minorHAnsi"/>
                <w:sz w:val="20"/>
                <w:szCs w:val="20"/>
              </w:rPr>
            </w:pPr>
            <w:r>
              <w:rPr>
                <w:rFonts w:asciiTheme="minorHAnsi" w:hAnsiTheme="minorHAnsi" w:cstheme="minorHAnsi"/>
                <w:sz w:val="20"/>
                <w:szCs w:val="20"/>
              </w:rPr>
              <w:t>1994</w:t>
            </w:r>
          </w:p>
        </w:tc>
      </w:tr>
      <w:tr>
        <w:trPr>
          <w:trHeight w:val="260"/>
        </w:trPr>
        <w:tc>
          <w:tcPr>
            <w:tcW w:w="5098" w:type="dxa"/>
            <w:hideMark/>
          </w:tcPr>
          <w:p>
            <w:pPr>
              <w:rPr>
                <w:rFonts w:asciiTheme="minorHAnsi" w:hAnsiTheme="minorHAnsi" w:cstheme="minorHAnsi"/>
                <w:b/>
                <w:bCs/>
                <w:sz w:val="20"/>
                <w:szCs w:val="20"/>
                <w:lang w:val="en-US"/>
              </w:rPr>
            </w:pPr>
            <w:r>
              <w:rPr>
                <w:rFonts w:asciiTheme="minorHAnsi" w:hAnsiTheme="minorHAnsi" w:cstheme="minorHAnsi"/>
                <w:b/>
                <w:bCs/>
                <w:sz w:val="20"/>
                <w:szCs w:val="20"/>
                <w:lang w:val="en-US"/>
              </w:rPr>
              <w:t xml:space="preserve">Journal of Physics: Condensed Matter (from 1989) </w:t>
            </w:r>
            <w:r>
              <w:rPr>
                <w:rFonts w:asciiTheme="minorHAnsi" w:hAnsiTheme="minorHAnsi" w:cstheme="minorHAnsi"/>
                <w:sz w:val="20"/>
                <w:szCs w:val="20"/>
                <w:lang w:val="en-US"/>
              </w:rPr>
              <w:t>Formed by merger of:</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1361-648X</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1989</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sz w:val="20"/>
                <w:szCs w:val="20"/>
                <w:lang w:val="en-US"/>
              </w:rPr>
            </w:pPr>
            <w:r>
              <w:rPr>
                <w:rFonts w:asciiTheme="minorHAnsi" w:hAnsiTheme="minorHAnsi" w:cstheme="minorHAnsi"/>
                <w:sz w:val="20"/>
                <w:szCs w:val="20"/>
                <w:lang w:val="en-US"/>
              </w:rPr>
              <w:t>Journal of Physics C: Solid State Physics (1970- 1988)</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w:t>
            </w:r>
          </w:p>
        </w:tc>
        <w:tc>
          <w:tcPr>
            <w:tcW w:w="1135" w:type="dxa"/>
            <w:hideMark/>
          </w:tcPr>
          <w:p>
            <w:pPr>
              <w:rPr>
                <w:rFonts w:asciiTheme="minorHAnsi" w:hAnsiTheme="minorHAnsi" w:cstheme="minorHAnsi"/>
                <w:sz w:val="20"/>
                <w:szCs w:val="20"/>
              </w:rPr>
            </w:pPr>
            <w:r>
              <w:rPr>
                <w:rFonts w:asciiTheme="minorHAnsi" w:hAnsiTheme="minorHAnsi" w:cstheme="minorHAnsi"/>
                <w:sz w:val="20"/>
                <w:szCs w:val="20"/>
              </w:rPr>
              <w:t>1968</w:t>
            </w:r>
          </w:p>
        </w:tc>
        <w:tc>
          <w:tcPr>
            <w:tcW w:w="1409" w:type="dxa"/>
            <w:hideMark/>
          </w:tcPr>
          <w:p>
            <w:pPr>
              <w:rPr>
                <w:rFonts w:asciiTheme="minorHAnsi" w:hAnsiTheme="minorHAnsi" w:cstheme="minorHAnsi"/>
                <w:sz w:val="20"/>
                <w:szCs w:val="20"/>
              </w:rPr>
            </w:pPr>
            <w:r>
              <w:rPr>
                <w:rFonts w:asciiTheme="minorHAnsi" w:hAnsiTheme="minorHAnsi" w:cstheme="minorHAnsi"/>
                <w:sz w:val="20"/>
                <w:szCs w:val="20"/>
              </w:rPr>
              <w:t>1988</w:t>
            </w:r>
          </w:p>
        </w:tc>
      </w:tr>
      <w:tr>
        <w:trPr>
          <w:trHeight w:val="270"/>
        </w:trPr>
        <w:tc>
          <w:tcPr>
            <w:tcW w:w="5098" w:type="dxa"/>
            <w:hideMark/>
          </w:tcPr>
          <w:p>
            <w:pPr>
              <w:rPr>
                <w:rFonts w:asciiTheme="minorHAnsi" w:hAnsiTheme="minorHAnsi" w:cstheme="minorHAnsi"/>
                <w:sz w:val="20"/>
                <w:szCs w:val="20"/>
                <w:lang w:val="en-US"/>
              </w:rPr>
            </w:pPr>
            <w:r>
              <w:rPr>
                <w:rFonts w:asciiTheme="minorHAnsi" w:hAnsiTheme="minorHAnsi" w:cstheme="minorHAnsi"/>
                <w:sz w:val="20"/>
                <w:szCs w:val="20"/>
                <w:lang w:val="en-US"/>
              </w:rPr>
              <w:t>Journal of Physics F: Metal Physics (1971- 1988)</w:t>
            </w:r>
          </w:p>
        </w:tc>
        <w:tc>
          <w:tcPr>
            <w:tcW w:w="1418" w:type="dxa"/>
            <w:hideMark/>
          </w:tcPr>
          <w:p>
            <w:pPr>
              <w:rPr>
                <w:rFonts w:asciiTheme="minorHAnsi" w:hAnsiTheme="minorHAnsi" w:cstheme="minorHAnsi"/>
                <w:sz w:val="20"/>
                <w:szCs w:val="20"/>
              </w:rPr>
            </w:pPr>
            <w:r>
              <w:rPr>
                <w:rFonts w:asciiTheme="minorHAnsi" w:hAnsiTheme="minorHAnsi" w:cstheme="minorHAnsi"/>
                <w:sz w:val="20"/>
                <w:szCs w:val="20"/>
              </w:rPr>
              <w:t>-</w:t>
            </w:r>
          </w:p>
        </w:tc>
        <w:tc>
          <w:tcPr>
            <w:tcW w:w="1135" w:type="dxa"/>
            <w:hideMark/>
          </w:tcPr>
          <w:p>
            <w:pPr>
              <w:rPr>
                <w:rFonts w:asciiTheme="minorHAnsi" w:hAnsiTheme="minorHAnsi" w:cstheme="minorHAnsi"/>
                <w:sz w:val="20"/>
                <w:szCs w:val="20"/>
              </w:rPr>
            </w:pPr>
            <w:r>
              <w:rPr>
                <w:rFonts w:asciiTheme="minorHAnsi" w:hAnsiTheme="minorHAnsi" w:cstheme="minorHAnsi"/>
                <w:sz w:val="20"/>
                <w:szCs w:val="20"/>
              </w:rPr>
              <w:t>1971</w:t>
            </w:r>
          </w:p>
        </w:tc>
        <w:tc>
          <w:tcPr>
            <w:tcW w:w="1409" w:type="dxa"/>
            <w:hideMark/>
          </w:tcPr>
          <w:p>
            <w:pPr>
              <w:rPr>
                <w:rFonts w:asciiTheme="minorHAnsi" w:hAnsiTheme="minorHAnsi" w:cstheme="minorHAnsi"/>
                <w:sz w:val="20"/>
                <w:szCs w:val="20"/>
              </w:rPr>
            </w:pPr>
            <w:r>
              <w:rPr>
                <w:rFonts w:asciiTheme="minorHAnsi" w:hAnsiTheme="minorHAnsi" w:cstheme="minorHAnsi"/>
                <w:sz w:val="20"/>
                <w:szCs w:val="20"/>
              </w:rPr>
              <w:t>1988</w:t>
            </w:r>
          </w:p>
        </w:tc>
      </w:tr>
      <w:tr>
        <w:trPr>
          <w:trHeight w:val="260"/>
        </w:trPr>
        <w:tc>
          <w:tcPr>
            <w:tcW w:w="5098" w:type="dxa"/>
            <w:hideMark/>
          </w:tcPr>
          <w:p>
            <w:pPr>
              <w:rPr>
                <w:rFonts w:asciiTheme="minorHAnsi" w:hAnsiTheme="minorHAnsi" w:cstheme="minorHAnsi"/>
                <w:b/>
                <w:bCs/>
                <w:sz w:val="20"/>
                <w:szCs w:val="20"/>
                <w:lang w:val="en-US"/>
              </w:rPr>
            </w:pPr>
            <w:r>
              <w:rPr>
                <w:rFonts w:asciiTheme="minorHAnsi" w:hAnsiTheme="minorHAnsi" w:cstheme="minorHAnsi"/>
                <w:b/>
                <w:bCs/>
                <w:sz w:val="20"/>
                <w:szCs w:val="20"/>
                <w:lang w:val="en-US"/>
              </w:rPr>
              <w:t>Journal of Physics D: Applied Physics</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1361-6463</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1968</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sz w:val="20"/>
                <w:szCs w:val="20"/>
                <w:lang w:val="en-US"/>
              </w:rPr>
            </w:pPr>
            <w:r>
              <w:rPr>
                <w:rFonts w:asciiTheme="minorHAnsi" w:hAnsiTheme="minorHAnsi" w:cstheme="minorHAnsi"/>
                <w:sz w:val="20"/>
                <w:szCs w:val="20"/>
                <w:lang w:val="en-US"/>
              </w:rPr>
              <w:t>Formerly British Journal of Applied Physics (1950 – 1967)</w:t>
            </w:r>
          </w:p>
        </w:tc>
        <w:tc>
          <w:tcPr>
            <w:tcW w:w="1418" w:type="dxa"/>
            <w:hideMark/>
          </w:tcPr>
          <w:p>
            <w:pPr>
              <w:rPr>
                <w:rFonts w:asciiTheme="minorHAnsi" w:hAnsiTheme="minorHAnsi" w:cstheme="minorHAnsi"/>
                <w:sz w:val="20"/>
                <w:szCs w:val="20"/>
              </w:rPr>
            </w:pPr>
            <w:r>
              <w:rPr>
                <w:rFonts w:asciiTheme="minorHAnsi" w:hAnsiTheme="minorHAnsi" w:cstheme="minorHAnsi"/>
                <w:sz w:val="20"/>
                <w:szCs w:val="20"/>
              </w:rPr>
              <w:t>-</w:t>
            </w:r>
          </w:p>
        </w:tc>
        <w:tc>
          <w:tcPr>
            <w:tcW w:w="1135" w:type="dxa"/>
            <w:hideMark/>
          </w:tcPr>
          <w:p>
            <w:pPr>
              <w:rPr>
                <w:rFonts w:asciiTheme="minorHAnsi" w:hAnsiTheme="minorHAnsi" w:cstheme="minorHAnsi"/>
                <w:sz w:val="20"/>
                <w:szCs w:val="20"/>
              </w:rPr>
            </w:pPr>
            <w:r>
              <w:rPr>
                <w:rFonts w:asciiTheme="minorHAnsi" w:hAnsiTheme="minorHAnsi" w:cstheme="minorHAnsi"/>
                <w:sz w:val="20"/>
                <w:szCs w:val="20"/>
              </w:rPr>
              <w:t>1950</w:t>
            </w:r>
          </w:p>
        </w:tc>
        <w:tc>
          <w:tcPr>
            <w:tcW w:w="1409" w:type="dxa"/>
            <w:hideMark/>
          </w:tcPr>
          <w:p>
            <w:pPr>
              <w:rPr>
                <w:rFonts w:asciiTheme="minorHAnsi" w:hAnsiTheme="minorHAnsi" w:cstheme="minorHAnsi"/>
                <w:sz w:val="20"/>
                <w:szCs w:val="20"/>
              </w:rPr>
            </w:pPr>
            <w:r>
              <w:rPr>
                <w:rFonts w:asciiTheme="minorHAnsi" w:hAnsiTheme="minorHAnsi" w:cstheme="minorHAnsi"/>
                <w:sz w:val="20"/>
                <w:szCs w:val="20"/>
              </w:rPr>
              <w:t>1967</w:t>
            </w:r>
          </w:p>
        </w:tc>
      </w:tr>
      <w:tr>
        <w:trPr>
          <w:trHeight w:val="260"/>
        </w:trPr>
        <w:tc>
          <w:tcPr>
            <w:tcW w:w="5098" w:type="dxa"/>
            <w:hideMark/>
          </w:tcPr>
          <w:p>
            <w:pPr>
              <w:rPr>
                <w:rFonts w:asciiTheme="minorHAnsi" w:hAnsiTheme="minorHAnsi" w:cstheme="minorHAnsi"/>
                <w:b/>
                <w:bCs/>
                <w:sz w:val="20"/>
                <w:szCs w:val="20"/>
                <w:lang w:val="en-US"/>
              </w:rPr>
            </w:pPr>
            <w:r>
              <w:rPr>
                <w:rFonts w:asciiTheme="minorHAnsi" w:hAnsiTheme="minorHAnsi" w:cstheme="minorHAnsi"/>
                <w:b/>
                <w:bCs/>
                <w:sz w:val="20"/>
                <w:szCs w:val="20"/>
                <w:lang w:val="en-US"/>
              </w:rPr>
              <w:t>Journal of Physics G: Nuclear and Particle Physics</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1361-6471</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1989</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sz w:val="20"/>
                <w:szCs w:val="20"/>
                <w:lang w:val="en-US"/>
              </w:rPr>
            </w:pPr>
            <w:r>
              <w:rPr>
                <w:rFonts w:asciiTheme="minorHAnsi" w:hAnsiTheme="minorHAnsi" w:cstheme="minorHAnsi"/>
                <w:sz w:val="20"/>
                <w:szCs w:val="20"/>
                <w:lang w:val="en-US"/>
              </w:rPr>
              <w:t>Formerly: Journal of Physics G: Nuclear Physics (1975-1988)</w:t>
            </w:r>
          </w:p>
        </w:tc>
        <w:tc>
          <w:tcPr>
            <w:tcW w:w="1418" w:type="dxa"/>
            <w:hideMark/>
          </w:tcPr>
          <w:p>
            <w:pPr>
              <w:rPr>
                <w:rFonts w:asciiTheme="minorHAnsi" w:hAnsiTheme="minorHAnsi" w:cstheme="minorHAnsi"/>
                <w:sz w:val="20"/>
                <w:szCs w:val="20"/>
              </w:rPr>
            </w:pPr>
            <w:r>
              <w:rPr>
                <w:rFonts w:asciiTheme="minorHAnsi" w:hAnsiTheme="minorHAnsi" w:cstheme="minorHAnsi"/>
                <w:sz w:val="20"/>
                <w:szCs w:val="20"/>
              </w:rPr>
              <w:t>-</w:t>
            </w:r>
          </w:p>
        </w:tc>
        <w:tc>
          <w:tcPr>
            <w:tcW w:w="1135" w:type="dxa"/>
            <w:hideMark/>
          </w:tcPr>
          <w:p>
            <w:pPr>
              <w:rPr>
                <w:rFonts w:asciiTheme="minorHAnsi" w:hAnsiTheme="minorHAnsi" w:cstheme="minorHAnsi"/>
                <w:sz w:val="20"/>
                <w:szCs w:val="20"/>
              </w:rPr>
            </w:pPr>
            <w:r>
              <w:rPr>
                <w:rFonts w:asciiTheme="minorHAnsi" w:hAnsiTheme="minorHAnsi" w:cstheme="minorHAnsi"/>
                <w:sz w:val="20"/>
                <w:szCs w:val="20"/>
              </w:rPr>
              <w:t>1975</w:t>
            </w:r>
          </w:p>
        </w:tc>
        <w:tc>
          <w:tcPr>
            <w:tcW w:w="1409" w:type="dxa"/>
            <w:hideMark/>
          </w:tcPr>
          <w:p>
            <w:pPr>
              <w:rPr>
                <w:rFonts w:asciiTheme="minorHAnsi" w:hAnsiTheme="minorHAnsi" w:cstheme="minorHAnsi"/>
                <w:sz w:val="20"/>
                <w:szCs w:val="20"/>
              </w:rPr>
            </w:pPr>
            <w:r>
              <w:rPr>
                <w:rFonts w:asciiTheme="minorHAnsi" w:hAnsiTheme="minorHAnsi" w:cstheme="minorHAnsi"/>
                <w:sz w:val="20"/>
                <w:szCs w:val="20"/>
              </w:rPr>
              <w:t>1988</w:t>
            </w:r>
          </w:p>
        </w:tc>
      </w:tr>
      <w:tr>
        <w:trPr>
          <w:trHeight w:val="260"/>
        </w:trPr>
        <w:tc>
          <w:tcPr>
            <w:tcW w:w="5098" w:type="dxa"/>
            <w:hideMark/>
          </w:tcPr>
          <w:p>
            <w:pPr>
              <w:rPr>
                <w:rFonts w:asciiTheme="minorHAnsi" w:hAnsiTheme="minorHAnsi" w:cstheme="minorHAnsi"/>
                <w:b/>
                <w:bCs/>
                <w:sz w:val="20"/>
                <w:szCs w:val="20"/>
              </w:rPr>
            </w:pPr>
            <w:r>
              <w:rPr>
                <w:rFonts w:asciiTheme="minorHAnsi" w:hAnsiTheme="minorHAnsi" w:cstheme="minorHAnsi"/>
                <w:b/>
                <w:bCs/>
                <w:sz w:val="20"/>
                <w:szCs w:val="20"/>
              </w:rPr>
              <w:t xml:space="preserve">Journal of </w:t>
            </w:r>
            <w:proofErr w:type="spellStart"/>
            <w:r>
              <w:rPr>
                <w:rFonts w:asciiTheme="minorHAnsi" w:hAnsiTheme="minorHAnsi" w:cstheme="minorHAnsi"/>
                <w:b/>
                <w:bCs/>
                <w:sz w:val="20"/>
                <w:szCs w:val="20"/>
              </w:rPr>
              <w:t>Radiological</w:t>
            </w:r>
            <w:proofErr w:type="spellEnd"/>
            <w:r>
              <w:rPr>
                <w:rFonts w:asciiTheme="minorHAnsi" w:hAnsiTheme="minorHAnsi" w:cstheme="minorHAnsi"/>
                <w:b/>
                <w:bCs/>
                <w:sz w:val="20"/>
                <w:szCs w:val="20"/>
              </w:rPr>
              <w:t xml:space="preserve"> Protection</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1361-6498</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1988</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sz w:val="20"/>
                <w:szCs w:val="20"/>
                <w:lang w:val="en-US"/>
              </w:rPr>
            </w:pPr>
            <w:proofErr w:type="gramStart"/>
            <w:r>
              <w:rPr>
                <w:rFonts w:asciiTheme="minorHAnsi" w:hAnsiTheme="minorHAnsi" w:cstheme="minorHAnsi"/>
                <w:sz w:val="20"/>
                <w:szCs w:val="20"/>
                <w:lang w:val="en-US"/>
              </w:rPr>
              <w:t>Formerly :</w:t>
            </w:r>
            <w:proofErr w:type="gramEnd"/>
            <w:r>
              <w:rPr>
                <w:rFonts w:asciiTheme="minorHAnsi" w:hAnsiTheme="minorHAnsi" w:cstheme="minorHAnsi"/>
                <w:sz w:val="20"/>
                <w:szCs w:val="20"/>
                <w:lang w:val="en-US"/>
              </w:rPr>
              <w:t xml:space="preserve"> Journal of the Society for Radiological Protection (1981 - 1987)</w:t>
            </w:r>
          </w:p>
        </w:tc>
        <w:tc>
          <w:tcPr>
            <w:tcW w:w="1418" w:type="dxa"/>
            <w:hideMark/>
          </w:tcPr>
          <w:p>
            <w:pPr>
              <w:rPr>
                <w:rFonts w:asciiTheme="minorHAnsi" w:hAnsiTheme="minorHAnsi" w:cstheme="minorHAnsi"/>
                <w:sz w:val="20"/>
                <w:szCs w:val="20"/>
              </w:rPr>
            </w:pPr>
            <w:r>
              <w:rPr>
                <w:rFonts w:asciiTheme="minorHAnsi" w:hAnsiTheme="minorHAnsi" w:cstheme="minorHAnsi"/>
                <w:sz w:val="20"/>
                <w:szCs w:val="20"/>
              </w:rPr>
              <w:t>-</w:t>
            </w:r>
          </w:p>
        </w:tc>
        <w:tc>
          <w:tcPr>
            <w:tcW w:w="1135" w:type="dxa"/>
            <w:hideMark/>
          </w:tcPr>
          <w:p>
            <w:pPr>
              <w:rPr>
                <w:rFonts w:asciiTheme="minorHAnsi" w:hAnsiTheme="minorHAnsi" w:cstheme="minorHAnsi"/>
                <w:sz w:val="20"/>
                <w:szCs w:val="20"/>
              </w:rPr>
            </w:pPr>
            <w:r>
              <w:rPr>
                <w:rFonts w:asciiTheme="minorHAnsi" w:hAnsiTheme="minorHAnsi" w:cstheme="minorHAnsi"/>
                <w:sz w:val="20"/>
                <w:szCs w:val="20"/>
              </w:rPr>
              <w:t>1981</w:t>
            </w:r>
          </w:p>
        </w:tc>
        <w:tc>
          <w:tcPr>
            <w:tcW w:w="1409" w:type="dxa"/>
            <w:hideMark/>
          </w:tcPr>
          <w:p>
            <w:pPr>
              <w:rPr>
                <w:rFonts w:asciiTheme="minorHAnsi" w:hAnsiTheme="minorHAnsi" w:cstheme="minorHAnsi"/>
                <w:sz w:val="20"/>
                <w:szCs w:val="20"/>
              </w:rPr>
            </w:pPr>
            <w:r>
              <w:rPr>
                <w:rFonts w:asciiTheme="minorHAnsi" w:hAnsiTheme="minorHAnsi" w:cstheme="minorHAnsi"/>
                <w:sz w:val="20"/>
                <w:szCs w:val="20"/>
              </w:rPr>
              <w:t>1987</w:t>
            </w:r>
          </w:p>
        </w:tc>
      </w:tr>
      <w:tr>
        <w:trPr>
          <w:trHeight w:val="270"/>
        </w:trPr>
        <w:tc>
          <w:tcPr>
            <w:tcW w:w="5098" w:type="dxa"/>
            <w:hideMark/>
          </w:tcPr>
          <w:p>
            <w:pPr>
              <w:rPr>
                <w:rFonts w:asciiTheme="minorHAnsi" w:hAnsiTheme="minorHAnsi" w:cstheme="minorHAnsi"/>
                <w:b/>
                <w:bCs/>
                <w:sz w:val="20"/>
                <w:szCs w:val="20"/>
              </w:rPr>
            </w:pPr>
            <w:r>
              <w:rPr>
                <w:rFonts w:asciiTheme="minorHAnsi" w:hAnsiTheme="minorHAnsi" w:cstheme="minorHAnsi"/>
                <w:b/>
                <w:bCs/>
                <w:sz w:val="20"/>
                <w:szCs w:val="20"/>
              </w:rPr>
              <w:t xml:space="preserve">Journal of </w:t>
            </w:r>
            <w:proofErr w:type="spellStart"/>
            <w:r>
              <w:rPr>
                <w:rFonts w:asciiTheme="minorHAnsi" w:hAnsiTheme="minorHAnsi" w:cstheme="minorHAnsi"/>
                <w:b/>
                <w:bCs/>
                <w:sz w:val="20"/>
                <w:szCs w:val="20"/>
              </w:rPr>
              <w:t>Semiconductors</w:t>
            </w:r>
            <w:proofErr w:type="spellEnd"/>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2058-6140</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2009</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b/>
                <w:bCs/>
                <w:sz w:val="20"/>
                <w:szCs w:val="20"/>
                <w:lang w:val="en-US"/>
              </w:rPr>
            </w:pPr>
            <w:r>
              <w:rPr>
                <w:rFonts w:asciiTheme="minorHAnsi" w:hAnsiTheme="minorHAnsi" w:cstheme="minorHAnsi"/>
                <w:b/>
                <w:bCs/>
                <w:sz w:val="20"/>
                <w:szCs w:val="20"/>
                <w:lang w:val="en-US"/>
              </w:rPr>
              <w:t>Journal of Statistical Mechanics: Theory and Experiment</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1742-5468</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2004</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b/>
                <w:bCs/>
                <w:sz w:val="20"/>
                <w:szCs w:val="20"/>
              </w:rPr>
            </w:pPr>
            <w:r>
              <w:rPr>
                <w:rFonts w:asciiTheme="minorHAnsi" w:hAnsiTheme="minorHAnsi" w:cstheme="minorHAnsi"/>
                <w:b/>
                <w:bCs/>
                <w:sz w:val="20"/>
                <w:szCs w:val="20"/>
              </w:rPr>
              <w:t xml:space="preserve">Laser </w:t>
            </w:r>
            <w:proofErr w:type="spellStart"/>
            <w:r>
              <w:rPr>
                <w:rFonts w:asciiTheme="minorHAnsi" w:hAnsiTheme="minorHAnsi" w:cstheme="minorHAnsi"/>
                <w:b/>
                <w:bCs/>
                <w:sz w:val="20"/>
                <w:szCs w:val="20"/>
              </w:rPr>
              <w:t>Physics</w:t>
            </w:r>
            <w:proofErr w:type="spellEnd"/>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1555-6611</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2013</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b/>
                <w:bCs/>
                <w:sz w:val="20"/>
                <w:szCs w:val="20"/>
              </w:rPr>
            </w:pPr>
            <w:r>
              <w:rPr>
                <w:rFonts w:asciiTheme="minorHAnsi" w:hAnsiTheme="minorHAnsi" w:cstheme="minorHAnsi"/>
                <w:b/>
                <w:bCs/>
                <w:sz w:val="20"/>
                <w:szCs w:val="20"/>
              </w:rPr>
              <w:t xml:space="preserve">Laser </w:t>
            </w:r>
            <w:proofErr w:type="spellStart"/>
            <w:r>
              <w:rPr>
                <w:rFonts w:asciiTheme="minorHAnsi" w:hAnsiTheme="minorHAnsi" w:cstheme="minorHAnsi"/>
                <w:b/>
                <w:bCs/>
                <w:sz w:val="20"/>
                <w:szCs w:val="20"/>
              </w:rPr>
              <w:t>Physics</w:t>
            </w:r>
            <w:proofErr w:type="spellEnd"/>
            <w:r>
              <w:rPr>
                <w:rFonts w:asciiTheme="minorHAnsi" w:hAnsiTheme="minorHAnsi" w:cstheme="minorHAnsi"/>
                <w:b/>
                <w:bCs/>
                <w:sz w:val="20"/>
                <w:szCs w:val="20"/>
              </w:rPr>
              <w:t xml:space="preserve"> </w:t>
            </w:r>
            <w:proofErr w:type="spellStart"/>
            <w:r>
              <w:rPr>
                <w:rFonts w:asciiTheme="minorHAnsi" w:hAnsiTheme="minorHAnsi" w:cstheme="minorHAnsi"/>
                <w:b/>
                <w:bCs/>
                <w:sz w:val="20"/>
                <w:szCs w:val="20"/>
              </w:rPr>
              <w:t>Letters</w:t>
            </w:r>
            <w:proofErr w:type="spellEnd"/>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1612-202X</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2004</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b/>
                <w:bCs/>
                <w:sz w:val="20"/>
                <w:szCs w:val="20"/>
              </w:rPr>
            </w:pPr>
            <w:r>
              <w:rPr>
                <w:rFonts w:asciiTheme="minorHAnsi" w:hAnsiTheme="minorHAnsi" w:cstheme="minorHAnsi"/>
                <w:b/>
                <w:bCs/>
                <w:sz w:val="20"/>
                <w:szCs w:val="20"/>
              </w:rPr>
              <w:t xml:space="preserve">Materials </w:t>
            </w:r>
            <w:proofErr w:type="spellStart"/>
            <w:r>
              <w:rPr>
                <w:rFonts w:asciiTheme="minorHAnsi" w:hAnsiTheme="minorHAnsi" w:cstheme="minorHAnsi"/>
                <w:b/>
                <w:bCs/>
                <w:sz w:val="20"/>
                <w:szCs w:val="20"/>
              </w:rPr>
              <w:t>Research</w:t>
            </w:r>
            <w:proofErr w:type="spellEnd"/>
            <w:r>
              <w:rPr>
                <w:rFonts w:asciiTheme="minorHAnsi" w:hAnsiTheme="minorHAnsi" w:cstheme="minorHAnsi"/>
                <w:b/>
                <w:bCs/>
                <w:sz w:val="20"/>
                <w:szCs w:val="20"/>
              </w:rPr>
              <w:t xml:space="preserve"> Express </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2053-1591</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2014</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2019</w:t>
            </w:r>
          </w:p>
        </w:tc>
      </w:tr>
      <w:tr>
        <w:trPr>
          <w:trHeight w:val="260"/>
        </w:trPr>
        <w:tc>
          <w:tcPr>
            <w:tcW w:w="5098" w:type="dxa"/>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Measurement</w:t>
            </w:r>
            <w:proofErr w:type="spellEnd"/>
            <w:r>
              <w:rPr>
                <w:rFonts w:asciiTheme="minorHAnsi" w:hAnsiTheme="minorHAnsi" w:cstheme="minorHAnsi"/>
                <w:b/>
                <w:bCs/>
                <w:sz w:val="20"/>
                <w:szCs w:val="20"/>
              </w:rPr>
              <w:t xml:space="preserve"> Science and </w:t>
            </w:r>
            <w:proofErr w:type="spellStart"/>
            <w:r>
              <w:rPr>
                <w:rFonts w:asciiTheme="minorHAnsi" w:hAnsiTheme="minorHAnsi" w:cstheme="minorHAnsi"/>
                <w:b/>
                <w:bCs/>
                <w:sz w:val="20"/>
                <w:szCs w:val="20"/>
              </w:rPr>
              <w:t>Technology</w:t>
            </w:r>
            <w:proofErr w:type="spellEnd"/>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1361-6501</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1990</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sz w:val="20"/>
                <w:szCs w:val="20"/>
                <w:lang w:val="en-US"/>
              </w:rPr>
            </w:pPr>
            <w:r>
              <w:rPr>
                <w:rFonts w:asciiTheme="minorHAnsi" w:hAnsiTheme="minorHAnsi" w:cstheme="minorHAnsi"/>
                <w:sz w:val="20"/>
                <w:szCs w:val="20"/>
                <w:lang w:val="en-US"/>
              </w:rPr>
              <w:t xml:space="preserve">Formerly: Journal of Physics E: Scientific Instruments (1968-1989) </w:t>
            </w:r>
          </w:p>
        </w:tc>
        <w:tc>
          <w:tcPr>
            <w:tcW w:w="1418" w:type="dxa"/>
            <w:hideMark/>
          </w:tcPr>
          <w:p>
            <w:pPr>
              <w:rPr>
                <w:rFonts w:asciiTheme="minorHAnsi" w:hAnsiTheme="minorHAnsi" w:cstheme="minorHAnsi"/>
                <w:sz w:val="20"/>
                <w:szCs w:val="20"/>
              </w:rPr>
            </w:pPr>
            <w:r>
              <w:rPr>
                <w:rFonts w:asciiTheme="minorHAnsi" w:hAnsiTheme="minorHAnsi" w:cstheme="minorHAnsi"/>
                <w:sz w:val="20"/>
                <w:szCs w:val="20"/>
              </w:rPr>
              <w:t>-</w:t>
            </w:r>
          </w:p>
        </w:tc>
        <w:tc>
          <w:tcPr>
            <w:tcW w:w="1135" w:type="dxa"/>
            <w:hideMark/>
          </w:tcPr>
          <w:p>
            <w:pPr>
              <w:rPr>
                <w:rFonts w:asciiTheme="minorHAnsi" w:hAnsiTheme="minorHAnsi" w:cstheme="minorHAnsi"/>
                <w:sz w:val="20"/>
                <w:szCs w:val="20"/>
              </w:rPr>
            </w:pPr>
            <w:r>
              <w:rPr>
                <w:rFonts w:asciiTheme="minorHAnsi" w:hAnsiTheme="minorHAnsi" w:cstheme="minorHAnsi"/>
                <w:sz w:val="20"/>
                <w:szCs w:val="20"/>
              </w:rPr>
              <w:t>1968</w:t>
            </w:r>
          </w:p>
        </w:tc>
        <w:tc>
          <w:tcPr>
            <w:tcW w:w="1409" w:type="dxa"/>
            <w:hideMark/>
          </w:tcPr>
          <w:p>
            <w:pPr>
              <w:rPr>
                <w:rFonts w:asciiTheme="minorHAnsi" w:hAnsiTheme="minorHAnsi" w:cstheme="minorHAnsi"/>
                <w:sz w:val="20"/>
                <w:szCs w:val="20"/>
              </w:rPr>
            </w:pPr>
            <w:r>
              <w:rPr>
                <w:rFonts w:asciiTheme="minorHAnsi" w:hAnsiTheme="minorHAnsi" w:cstheme="minorHAnsi"/>
                <w:sz w:val="20"/>
                <w:szCs w:val="20"/>
              </w:rPr>
              <w:t>1989</w:t>
            </w:r>
          </w:p>
        </w:tc>
      </w:tr>
      <w:tr>
        <w:trPr>
          <w:trHeight w:val="270"/>
        </w:trPr>
        <w:tc>
          <w:tcPr>
            <w:tcW w:w="5098" w:type="dxa"/>
            <w:hideMark/>
          </w:tcPr>
          <w:p>
            <w:pPr>
              <w:rPr>
                <w:rFonts w:asciiTheme="minorHAnsi" w:hAnsiTheme="minorHAnsi" w:cstheme="minorHAnsi"/>
                <w:sz w:val="20"/>
                <w:szCs w:val="20"/>
                <w:lang w:val="en-US"/>
              </w:rPr>
            </w:pPr>
            <w:r>
              <w:rPr>
                <w:rFonts w:asciiTheme="minorHAnsi" w:hAnsiTheme="minorHAnsi" w:cstheme="minorHAnsi"/>
                <w:sz w:val="20"/>
                <w:szCs w:val="20"/>
                <w:lang w:val="en-US"/>
              </w:rPr>
              <w:t>Formerly Journal of Scientific Instruments (1923 – 1967)</w:t>
            </w:r>
          </w:p>
        </w:tc>
        <w:tc>
          <w:tcPr>
            <w:tcW w:w="1418" w:type="dxa"/>
            <w:hideMark/>
          </w:tcPr>
          <w:p>
            <w:pPr>
              <w:rPr>
                <w:rFonts w:asciiTheme="minorHAnsi" w:hAnsiTheme="minorHAnsi" w:cstheme="minorHAnsi"/>
                <w:sz w:val="20"/>
                <w:szCs w:val="20"/>
              </w:rPr>
            </w:pPr>
            <w:r>
              <w:rPr>
                <w:rFonts w:asciiTheme="minorHAnsi" w:hAnsiTheme="minorHAnsi" w:cstheme="minorHAnsi"/>
                <w:sz w:val="20"/>
                <w:szCs w:val="20"/>
              </w:rPr>
              <w:t>-</w:t>
            </w:r>
          </w:p>
        </w:tc>
        <w:tc>
          <w:tcPr>
            <w:tcW w:w="1135" w:type="dxa"/>
            <w:hideMark/>
          </w:tcPr>
          <w:p>
            <w:pPr>
              <w:rPr>
                <w:rFonts w:asciiTheme="minorHAnsi" w:hAnsiTheme="minorHAnsi" w:cstheme="minorHAnsi"/>
                <w:sz w:val="20"/>
                <w:szCs w:val="20"/>
              </w:rPr>
            </w:pPr>
            <w:r>
              <w:rPr>
                <w:rFonts w:asciiTheme="minorHAnsi" w:hAnsiTheme="minorHAnsi" w:cstheme="minorHAnsi"/>
                <w:sz w:val="20"/>
                <w:szCs w:val="20"/>
              </w:rPr>
              <w:t>1923</w:t>
            </w:r>
          </w:p>
        </w:tc>
        <w:tc>
          <w:tcPr>
            <w:tcW w:w="1409" w:type="dxa"/>
            <w:hideMark/>
          </w:tcPr>
          <w:p>
            <w:pPr>
              <w:rPr>
                <w:rFonts w:asciiTheme="minorHAnsi" w:hAnsiTheme="minorHAnsi" w:cstheme="minorHAnsi"/>
                <w:sz w:val="20"/>
                <w:szCs w:val="20"/>
              </w:rPr>
            </w:pPr>
            <w:r>
              <w:rPr>
                <w:rFonts w:asciiTheme="minorHAnsi" w:hAnsiTheme="minorHAnsi" w:cstheme="minorHAnsi"/>
                <w:sz w:val="20"/>
                <w:szCs w:val="20"/>
              </w:rPr>
              <w:t>1967</w:t>
            </w:r>
          </w:p>
        </w:tc>
      </w:tr>
      <w:tr>
        <w:trPr>
          <w:trHeight w:val="270"/>
        </w:trPr>
        <w:tc>
          <w:tcPr>
            <w:tcW w:w="5098" w:type="dxa"/>
            <w:hideMark/>
          </w:tcPr>
          <w:p>
            <w:pPr>
              <w:rPr>
                <w:rFonts w:asciiTheme="minorHAnsi" w:hAnsiTheme="minorHAnsi" w:cstheme="minorHAnsi"/>
                <w:b/>
                <w:bCs/>
                <w:sz w:val="20"/>
                <w:szCs w:val="20"/>
                <w:lang w:val="en-US"/>
              </w:rPr>
            </w:pPr>
            <w:r>
              <w:rPr>
                <w:rFonts w:asciiTheme="minorHAnsi" w:hAnsiTheme="minorHAnsi" w:cstheme="minorHAnsi"/>
                <w:b/>
                <w:bCs/>
                <w:sz w:val="20"/>
                <w:szCs w:val="20"/>
                <w:lang w:val="en-US"/>
              </w:rPr>
              <w:t>Methods and Applications in Fluorescence</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2050-6120</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2013</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Metrologia</w:t>
            </w:r>
            <w:proofErr w:type="spellEnd"/>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1681-7575</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1965</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b/>
                <w:bCs/>
                <w:sz w:val="20"/>
                <w:szCs w:val="20"/>
                <w:lang w:val="en-US"/>
              </w:rPr>
            </w:pPr>
            <w:r>
              <w:rPr>
                <w:rFonts w:asciiTheme="minorHAnsi" w:hAnsiTheme="minorHAnsi" w:cstheme="minorHAnsi"/>
                <w:b/>
                <w:bCs/>
                <w:sz w:val="20"/>
                <w:szCs w:val="20"/>
                <w:lang w:val="en-US"/>
              </w:rPr>
              <w:t>Modelling and Simulation in Materials Science and Engineering</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1361-651X</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1992</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Multifunctional</w:t>
            </w:r>
            <w:proofErr w:type="spellEnd"/>
            <w:r>
              <w:rPr>
                <w:rFonts w:asciiTheme="minorHAnsi" w:hAnsiTheme="minorHAnsi" w:cstheme="minorHAnsi"/>
                <w:b/>
                <w:bCs/>
                <w:sz w:val="20"/>
                <w:szCs w:val="20"/>
              </w:rPr>
              <w:t xml:space="preserve"> Materials</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2399-7532</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2018</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b/>
                <w:bCs/>
                <w:sz w:val="20"/>
                <w:szCs w:val="20"/>
              </w:rPr>
            </w:pPr>
            <w:r>
              <w:rPr>
                <w:rFonts w:asciiTheme="minorHAnsi" w:hAnsiTheme="minorHAnsi" w:cstheme="minorHAnsi"/>
                <w:b/>
                <w:bCs/>
                <w:sz w:val="20"/>
                <w:szCs w:val="20"/>
              </w:rPr>
              <w:t>Nano Futures</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2399-1984</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2017</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Nanotechnology</w:t>
            </w:r>
            <w:proofErr w:type="spellEnd"/>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1361-6528</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1990</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Nonlinearity</w:t>
            </w:r>
            <w:proofErr w:type="spellEnd"/>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1361-6544</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1988</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Nuclear</w:t>
            </w:r>
            <w:proofErr w:type="spellEnd"/>
            <w:r>
              <w:rPr>
                <w:rFonts w:asciiTheme="minorHAnsi" w:hAnsiTheme="minorHAnsi" w:cstheme="minorHAnsi"/>
                <w:b/>
                <w:bCs/>
                <w:sz w:val="20"/>
                <w:szCs w:val="20"/>
              </w:rPr>
              <w:t xml:space="preserve"> Fusion</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1741-4326</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1960</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Physica</w:t>
            </w:r>
            <w:proofErr w:type="spellEnd"/>
            <w:r>
              <w:rPr>
                <w:rFonts w:asciiTheme="minorHAnsi" w:hAnsiTheme="minorHAnsi" w:cstheme="minorHAnsi"/>
                <w:b/>
                <w:bCs/>
                <w:sz w:val="20"/>
                <w:szCs w:val="20"/>
              </w:rPr>
              <w:t xml:space="preserve"> Scripta</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1402-4896</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1970</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b/>
                <w:bCs/>
                <w:sz w:val="20"/>
                <w:szCs w:val="20"/>
              </w:rPr>
            </w:pPr>
            <w:r>
              <w:rPr>
                <w:rFonts w:asciiTheme="minorHAnsi" w:hAnsiTheme="minorHAnsi" w:cstheme="minorHAnsi"/>
                <w:b/>
                <w:bCs/>
                <w:sz w:val="20"/>
                <w:szCs w:val="20"/>
              </w:rPr>
              <w:t xml:space="preserve">Physical </w:t>
            </w:r>
            <w:proofErr w:type="spellStart"/>
            <w:r>
              <w:rPr>
                <w:rFonts w:asciiTheme="minorHAnsi" w:hAnsiTheme="minorHAnsi" w:cstheme="minorHAnsi"/>
                <w:b/>
                <w:bCs/>
                <w:sz w:val="20"/>
                <w:szCs w:val="20"/>
              </w:rPr>
              <w:t>Biology</w:t>
            </w:r>
            <w:proofErr w:type="spellEnd"/>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1478-3975</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2004</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Physics</w:t>
            </w:r>
            <w:proofErr w:type="spellEnd"/>
            <w:r>
              <w:rPr>
                <w:rFonts w:asciiTheme="minorHAnsi" w:hAnsiTheme="minorHAnsi" w:cstheme="minorHAnsi"/>
                <w:b/>
                <w:bCs/>
                <w:sz w:val="20"/>
                <w:szCs w:val="20"/>
              </w:rPr>
              <w:t xml:space="preserve"> Education</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1361-6552</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1966</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Physics</w:t>
            </w:r>
            <w:proofErr w:type="spellEnd"/>
            <w:r>
              <w:rPr>
                <w:rFonts w:asciiTheme="minorHAnsi" w:hAnsiTheme="minorHAnsi" w:cstheme="minorHAnsi"/>
                <w:b/>
                <w:bCs/>
                <w:sz w:val="20"/>
                <w:szCs w:val="20"/>
              </w:rPr>
              <w:t xml:space="preserve"> in </w:t>
            </w:r>
            <w:proofErr w:type="spellStart"/>
            <w:r>
              <w:rPr>
                <w:rFonts w:asciiTheme="minorHAnsi" w:hAnsiTheme="minorHAnsi" w:cstheme="minorHAnsi"/>
                <w:b/>
                <w:bCs/>
                <w:sz w:val="20"/>
                <w:szCs w:val="20"/>
              </w:rPr>
              <w:t>Medicine</w:t>
            </w:r>
            <w:proofErr w:type="spellEnd"/>
            <w:r>
              <w:rPr>
                <w:rFonts w:asciiTheme="minorHAnsi" w:hAnsiTheme="minorHAnsi" w:cstheme="minorHAnsi"/>
                <w:b/>
                <w:bCs/>
                <w:sz w:val="20"/>
                <w:szCs w:val="20"/>
              </w:rPr>
              <w:t xml:space="preserve"> &amp; </w:t>
            </w:r>
            <w:proofErr w:type="spellStart"/>
            <w:r>
              <w:rPr>
                <w:rFonts w:asciiTheme="minorHAnsi" w:hAnsiTheme="minorHAnsi" w:cstheme="minorHAnsi"/>
                <w:b/>
                <w:bCs/>
                <w:sz w:val="20"/>
                <w:szCs w:val="20"/>
              </w:rPr>
              <w:t>Biology</w:t>
            </w:r>
            <w:proofErr w:type="spellEnd"/>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1361-6560</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1956</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Physics</w:t>
            </w:r>
            <w:proofErr w:type="spellEnd"/>
            <w:r>
              <w:rPr>
                <w:rFonts w:asciiTheme="minorHAnsi" w:hAnsiTheme="minorHAnsi" w:cstheme="minorHAnsi"/>
                <w:b/>
                <w:bCs/>
                <w:sz w:val="20"/>
                <w:szCs w:val="20"/>
              </w:rPr>
              <w:t xml:space="preserve"> in </w:t>
            </w:r>
            <w:proofErr w:type="spellStart"/>
            <w:r>
              <w:rPr>
                <w:rFonts w:asciiTheme="minorHAnsi" w:hAnsiTheme="minorHAnsi" w:cstheme="minorHAnsi"/>
                <w:b/>
                <w:bCs/>
                <w:sz w:val="20"/>
                <w:szCs w:val="20"/>
              </w:rPr>
              <w:t>Technology</w:t>
            </w:r>
            <w:proofErr w:type="spellEnd"/>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1973</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1988</w:t>
            </w:r>
          </w:p>
        </w:tc>
      </w:tr>
      <w:tr>
        <w:trPr>
          <w:trHeight w:val="260"/>
        </w:trPr>
        <w:tc>
          <w:tcPr>
            <w:tcW w:w="5098" w:type="dxa"/>
            <w:hideMark/>
          </w:tcPr>
          <w:p>
            <w:pPr>
              <w:rPr>
                <w:rFonts w:asciiTheme="minorHAnsi" w:hAnsiTheme="minorHAnsi" w:cstheme="minorHAnsi"/>
                <w:sz w:val="20"/>
                <w:szCs w:val="20"/>
                <w:lang w:val="en-US"/>
              </w:rPr>
            </w:pPr>
            <w:r>
              <w:rPr>
                <w:rFonts w:asciiTheme="minorHAnsi" w:hAnsiTheme="minorHAnsi" w:cstheme="minorHAnsi"/>
                <w:sz w:val="20"/>
                <w:szCs w:val="20"/>
                <w:lang w:val="en-US"/>
              </w:rPr>
              <w:lastRenderedPageBreak/>
              <w:t>Formerly: Review of Physics in Technology (1970 – 1972)</w:t>
            </w:r>
          </w:p>
        </w:tc>
        <w:tc>
          <w:tcPr>
            <w:tcW w:w="1418" w:type="dxa"/>
            <w:hideMark/>
          </w:tcPr>
          <w:p>
            <w:pPr>
              <w:rPr>
                <w:rFonts w:asciiTheme="minorHAnsi" w:hAnsiTheme="minorHAnsi" w:cstheme="minorHAnsi"/>
                <w:sz w:val="20"/>
                <w:szCs w:val="20"/>
              </w:rPr>
            </w:pPr>
            <w:r>
              <w:rPr>
                <w:rFonts w:asciiTheme="minorHAnsi" w:hAnsiTheme="minorHAnsi" w:cstheme="minorHAnsi"/>
                <w:sz w:val="20"/>
                <w:szCs w:val="20"/>
              </w:rPr>
              <w:t>-</w:t>
            </w:r>
          </w:p>
        </w:tc>
        <w:tc>
          <w:tcPr>
            <w:tcW w:w="1135" w:type="dxa"/>
            <w:hideMark/>
          </w:tcPr>
          <w:p>
            <w:pPr>
              <w:rPr>
                <w:rFonts w:asciiTheme="minorHAnsi" w:hAnsiTheme="minorHAnsi" w:cstheme="minorHAnsi"/>
                <w:sz w:val="20"/>
                <w:szCs w:val="20"/>
              </w:rPr>
            </w:pPr>
            <w:r>
              <w:rPr>
                <w:rFonts w:asciiTheme="minorHAnsi" w:hAnsiTheme="minorHAnsi" w:cstheme="minorHAnsi"/>
                <w:sz w:val="20"/>
                <w:szCs w:val="20"/>
              </w:rPr>
              <w:t>1970</w:t>
            </w:r>
          </w:p>
        </w:tc>
        <w:tc>
          <w:tcPr>
            <w:tcW w:w="1409" w:type="dxa"/>
            <w:hideMark/>
          </w:tcPr>
          <w:p>
            <w:pPr>
              <w:rPr>
                <w:rFonts w:asciiTheme="minorHAnsi" w:hAnsiTheme="minorHAnsi" w:cstheme="minorHAnsi"/>
                <w:sz w:val="20"/>
                <w:szCs w:val="20"/>
              </w:rPr>
            </w:pPr>
            <w:r>
              <w:rPr>
                <w:rFonts w:asciiTheme="minorHAnsi" w:hAnsiTheme="minorHAnsi" w:cstheme="minorHAnsi"/>
                <w:sz w:val="20"/>
                <w:szCs w:val="20"/>
              </w:rPr>
              <w:t>1972</w:t>
            </w:r>
          </w:p>
        </w:tc>
      </w:tr>
      <w:tr>
        <w:trPr>
          <w:trHeight w:val="260"/>
        </w:trPr>
        <w:tc>
          <w:tcPr>
            <w:tcW w:w="5098" w:type="dxa"/>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Physics-Uspekhi</w:t>
            </w:r>
            <w:proofErr w:type="spellEnd"/>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1468-4780</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1993</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sz w:val="20"/>
                <w:szCs w:val="20"/>
              </w:rPr>
            </w:pPr>
            <w:proofErr w:type="spellStart"/>
            <w:proofErr w:type="gramStart"/>
            <w:r>
              <w:rPr>
                <w:rFonts w:asciiTheme="minorHAnsi" w:hAnsiTheme="minorHAnsi" w:cstheme="minorHAnsi"/>
                <w:sz w:val="20"/>
                <w:szCs w:val="20"/>
              </w:rPr>
              <w:t>Formerly</w:t>
            </w:r>
            <w:proofErr w:type="spellEnd"/>
            <w:r>
              <w:rPr>
                <w:rFonts w:asciiTheme="minorHAnsi" w:hAnsiTheme="minorHAnsi" w:cstheme="minorHAnsi"/>
                <w:sz w:val="20"/>
                <w:szCs w:val="20"/>
              </w:rPr>
              <w:t>:</w:t>
            </w:r>
            <w:proofErr w:type="gramEnd"/>
            <w:r>
              <w:rPr>
                <w:rFonts w:asciiTheme="minorHAnsi" w:hAnsiTheme="minorHAnsi" w:cstheme="minorHAnsi"/>
                <w:sz w:val="20"/>
                <w:szCs w:val="20"/>
              </w:rPr>
              <w:t xml:space="preserve"> Soviet </w:t>
            </w:r>
            <w:proofErr w:type="spellStart"/>
            <w:r>
              <w:rPr>
                <w:rFonts w:asciiTheme="minorHAnsi" w:hAnsiTheme="minorHAnsi" w:cstheme="minorHAnsi"/>
                <w:sz w:val="20"/>
                <w:szCs w:val="20"/>
              </w:rPr>
              <w:t>Physics</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Uspekhi</w:t>
            </w:r>
            <w:proofErr w:type="spellEnd"/>
            <w:r>
              <w:rPr>
                <w:rFonts w:asciiTheme="minorHAnsi" w:hAnsiTheme="minorHAnsi" w:cstheme="minorHAnsi"/>
                <w:sz w:val="20"/>
                <w:szCs w:val="20"/>
              </w:rPr>
              <w:t xml:space="preserve"> (1958 – 1992)</w:t>
            </w:r>
          </w:p>
        </w:tc>
        <w:tc>
          <w:tcPr>
            <w:tcW w:w="1418" w:type="dxa"/>
            <w:hideMark/>
          </w:tcPr>
          <w:p>
            <w:pPr>
              <w:rPr>
                <w:rFonts w:asciiTheme="minorHAnsi" w:hAnsiTheme="minorHAnsi" w:cstheme="minorHAnsi"/>
                <w:sz w:val="20"/>
                <w:szCs w:val="20"/>
              </w:rPr>
            </w:pPr>
            <w:r>
              <w:rPr>
                <w:rFonts w:asciiTheme="minorHAnsi" w:hAnsiTheme="minorHAnsi" w:cstheme="minorHAnsi"/>
                <w:sz w:val="20"/>
                <w:szCs w:val="20"/>
              </w:rPr>
              <w:t>-</w:t>
            </w:r>
          </w:p>
        </w:tc>
        <w:tc>
          <w:tcPr>
            <w:tcW w:w="1135" w:type="dxa"/>
            <w:hideMark/>
          </w:tcPr>
          <w:p>
            <w:pPr>
              <w:rPr>
                <w:rFonts w:asciiTheme="minorHAnsi" w:hAnsiTheme="minorHAnsi" w:cstheme="minorHAnsi"/>
                <w:sz w:val="20"/>
                <w:szCs w:val="20"/>
              </w:rPr>
            </w:pPr>
            <w:r>
              <w:rPr>
                <w:rFonts w:asciiTheme="minorHAnsi" w:hAnsiTheme="minorHAnsi" w:cstheme="minorHAnsi"/>
                <w:sz w:val="20"/>
                <w:szCs w:val="20"/>
              </w:rPr>
              <w:t>1958</w:t>
            </w:r>
          </w:p>
        </w:tc>
        <w:tc>
          <w:tcPr>
            <w:tcW w:w="1409" w:type="dxa"/>
            <w:hideMark/>
          </w:tcPr>
          <w:p>
            <w:pPr>
              <w:rPr>
                <w:rFonts w:asciiTheme="minorHAnsi" w:hAnsiTheme="minorHAnsi" w:cstheme="minorHAnsi"/>
                <w:sz w:val="20"/>
                <w:szCs w:val="20"/>
              </w:rPr>
            </w:pPr>
            <w:r>
              <w:rPr>
                <w:rFonts w:asciiTheme="minorHAnsi" w:hAnsiTheme="minorHAnsi" w:cstheme="minorHAnsi"/>
                <w:sz w:val="20"/>
                <w:szCs w:val="20"/>
              </w:rPr>
              <w:t>1992</w:t>
            </w:r>
          </w:p>
        </w:tc>
      </w:tr>
      <w:tr>
        <w:trPr>
          <w:trHeight w:val="270"/>
        </w:trPr>
        <w:tc>
          <w:tcPr>
            <w:tcW w:w="5098" w:type="dxa"/>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Physics</w:t>
            </w:r>
            <w:proofErr w:type="spellEnd"/>
            <w:r>
              <w:rPr>
                <w:rFonts w:asciiTheme="minorHAnsi" w:hAnsiTheme="minorHAnsi" w:cstheme="minorHAnsi"/>
                <w:b/>
                <w:bCs/>
                <w:sz w:val="20"/>
                <w:szCs w:val="20"/>
              </w:rPr>
              <w:t xml:space="preserve"> Bulletin</w:t>
            </w:r>
          </w:p>
        </w:tc>
        <w:tc>
          <w:tcPr>
            <w:tcW w:w="1418" w:type="dxa"/>
            <w:hideMark/>
          </w:tcPr>
          <w:p>
            <w:pPr>
              <w:rPr>
                <w:rFonts w:asciiTheme="minorHAnsi" w:hAnsiTheme="minorHAnsi" w:cstheme="minorHAnsi"/>
                <w:sz w:val="20"/>
                <w:szCs w:val="20"/>
              </w:rPr>
            </w:pPr>
            <w:r>
              <w:rPr>
                <w:rFonts w:asciiTheme="minorHAnsi" w:hAnsiTheme="minorHAnsi" w:cstheme="minorHAnsi"/>
                <w:sz w:val="20"/>
                <w:szCs w:val="20"/>
              </w:rPr>
              <w:t>-</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1950</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1988</w:t>
            </w:r>
          </w:p>
        </w:tc>
      </w:tr>
      <w:tr>
        <w:trPr>
          <w:trHeight w:val="270"/>
        </w:trPr>
        <w:tc>
          <w:tcPr>
            <w:tcW w:w="5098" w:type="dxa"/>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Physics</w:t>
            </w:r>
            <w:proofErr w:type="spellEnd"/>
            <w:r>
              <w:rPr>
                <w:rFonts w:asciiTheme="minorHAnsi" w:hAnsiTheme="minorHAnsi" w:cstheme="minorHAnsi"/>
                <w:b/>
                <w:bCs/>
                <w:sz w:val="20"/>
                <w:szCs w:val="20"/>
              </w:rPr>
              <w:t xml:space="preserve"> World</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2058-7058</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1988</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Physiological</w:t>
            </w:r>
            <w:proofErr w:type="spellEnd"/>
            <w:r>
              <w:rPr>
                <w:rFonts w:asciiTheme="minorHAnsi" w:hAnsiTheme="minorHAnsi" w:cstheme="minorHAnsi"/>
                <w:b/>
                <w:bCs/>
                <w:sz w:val="20"/>
                <w:szCs w:val="20"/>
              </w:rPr>
              <w:t xml:space="preserve"> </w:t>
            </w:r>
            <w:proofErr w:type="spellStart"/>
            <w:r>
              <w:rPr>
                <w:rFonts w:asciiTheme="minorHAnsi" w:hAnsiTheme="minorHAnsi" w:cstheme="minorHAnsi"/>
                <w:b/>
                <w:bCs/>
                <w:sz w:val="20"/>
                <w:szCs w:val="20"/>
              </w:rPr>
              <w:t>Measurement</w:t>
            </w:r>
            <w:proofErr w:type="spellEnd"/>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1361-6579</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1993</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sz w:val="20"/>
                <w:szCs w:val="20"/>
                <w:lang w:val="en-US"/>
              </w:rPr>
            </w:pPr>
            <w:r>
              <w:rPr>
                <w:rFonts w:asciiTheme="minorHAnsi" w:hAnsiTheme="minorHAnsi" w:cstheme="minorHAnsi"/>
                <w:sz w:val="20"/>
                <w:szCs w:val="20"/>
                <w:lang w:val="en-US"/>
              </w:rPr>
              <w:t>Formerly: Clinical Physics and Physiological Measurement (1980-1992)</w:t>
            </w:r>
          </w:p>
        </w:tc>
        <w:tc>
          <w:tcPr>
            <w:tcW w:w="1418" w:type="dxa"/>
            <w:hideMark/>
          </w:tcPr>
          <w:p>
            <w:pPr>
              <w:rPr>
                <w:rFonts w:asciiTheme="minorHAnsi" w:hAnsiTheme="minorHAnsi" w:cstheme="minorHAnsi"/>
                <w:sz w:val="20"/>
                <w:szCs w:val="20"/>
              </w:rPr>
            </w:pPr>
            <w:r>
              <w:rPr>
                <w:rFonts w:asciiTheme="minorHAnsi" w:hAnsiTheme="minorHAnsi" w:cstheme="minorHAnsi"/>
                <w:sz w:val="20"/>
                <w:szCs w:val="20"/>
              </w:rPr>
              <w:t>-</w:t>
            </w:r>
          </w:p>
        </w:tc>
        <w:tc>
          <w:tcPr>
            <w:tcW w:w="1135" w:type="dxa"/>
            <w:hideMark/>
          </w:tcPr>
          <w:p>
            <w:pPr>
              <w:rPr>
                <w:rFonts w:asciiTheme="minorHAnsi" w:hAnsiTheme="minorHAnsi" w:cstheme="minorHAnsi"/>
                <w:sz w:val="20"/>
                <w:szCs w:val="20"/>
              </w:rPr>
            </w:pPr>
            <w:r>
              <w:rPr>
                <w:rFonts w:asciiTheme="minorHAnsi" w:hAnsiTheme="minorHAnsi" w:cstheme="minorHAnsi"/>
                <w:sz w:val="20"/>
                <w:szCs w:val="20"/>
              </w:rPr>
              <w:t>1980</w:t>
            </w:r>
          </w:p>
        </w:tc>
        <w:tc>
          <w:tcPr>
            <w:tcW w:w="1409" w:type="dxa"/>
            <w:hideMark/>
          </w:tcPr>
          <w:p>
            <w:pPr>
              <w:rPr>
                <w:rFonts w:asciiTheme="minorHAnsi" w:hAnsiTheme="minorHAnsi" w:cstheme="minorHAnsi"/>
                <w:sz w:val="20"/>
                <w:szCs w:val="20"/>
              </w:rPr>
            </w:pPr>
            <w:r>
              <w:rPr>
                <w:rFonts w:asciiTheme="minorHAnsi" w:hAnsiTheme="minorHAnsi" w:cstheme="minorHAnsi"/>
                <w:sz w:val="20"/>
                <w:szCs w:val="20"/>
              </w:rPr>
              <w:t>1992</w:t>
            </w:r>
          </w:p>
        </w:tc>
      </w:tr>
      <w:tr>
        <w:trPr>
          <w:trHeight w:val="260"/>
        </w:trPr>
        <w:tc>
          <w:tcPr>
            <w:tcW w:w="5098" w:type="dxa"/>
            <w:hideMark/>
          </w:tcPr>
          <w:p>
            <w:pPr>
              <w:rPr>
                <w:rFonts w:asciiTheme="minorHAnsi" w:hAnsiTheme="minorHAnsi" w:cstheme="minorHAnsi"/>
                <w:b/>
                <w:bCs/>
                <w:sz w:val="20"/>
                <w:szCs w:val="20"/>
                <w:lang w:val="en-US"/>
              </w:rPr>
            </w:pPr>
            <w:r>
              <w:rPr>
                <w:rFonts w:asciiTheme="minorHAnsi" w:hAnsiTheme="minorHAnsi" w:cstheme="minorHAnsi"/>
                <w:b/>
                <w:bCs/>
                <w:sz w:val="20"/>
                <w:szCs w:val="20"/>
                <w:lang w:val="en-US"/>
              </w:rPr>
              <w:t>Plasma Physics and Controlled Fusion</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1361-6587</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1984</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sz w:val="20"/>
                <w:szCs w:val="20"/>
              </w:rPr>
            </w:pPr>
            <w:proofErr w:type="spellStart"/>
            <w:proofErr w:type="gramStart"/>
            <w:r>
              <w:rPr>
                <w:rFonts w:asciiTheme="minorHAnsi" w:hAnsiTheme="minorHAnsi" w:cstheme="minorHAnsi"/>
                <w:sz w:val="20"/>
                <w:szCs w:val="20"/>
              </w:rPr>
              <w:t>Formerly</w:t>
            </w:r>
            <w:proofErr w:type="spellEnd"/>
            <w:r>
              <w:rPr>
                <w:rFonts w:asciiTheme="minorHAnsi" w:hAnsiTheme="minorHAnsi" w:cstheme="minorHAnsi"/>
                <w:sz w:val="20"/>
                <w:szCs w:val="20"/>
              </w:rPr>
              <w:t>:</w:t>
            </w:r>
            <w:proofErr w:type="gramEnd"/>
            <w:r>
              <w:rPr>
                <w:rFonts w:asciiTheme="minorHAnsi" w:hAnsiTheme="minorHAnsi" w:cstheme="minorHAnsi"/>
                <w:sz w:val="20"/>
                <w:szCs w:val="20"/>
              </w:rPr>
              <w:t xml:space="preserve"> Plasma </w:t>
            </w:r>
            <w:proofErr w:type="spellStart"/>
            <w:r>
              <w:rPr>
                <w:rFonts w:asciiTheme="minorHAnsi" w:hAnsiTheme="minorHAnsi" w:cstheme="minorHAnsi"/>
                <w:sz w:val="20"/>
                <w:szCs w:val="20"/>
              </w:rPr>
              <w:t>Physics</w:t>
            </w:r>
            <w:proofErr w:type="spellEnd"/>
            <w:r>
              <w:rPr>
                <w:rFonts w:asciiTheme="minorHAnsi" w:hAnsiTheme="minorHAnsi" w:cstheme="minorHAnsi"/>
                <w:sz w:val="20"/>
                <w:szCs w:val="20"/>
              </w:rPr>
              <w:t xml:space="preserve"> (1967-1983)</w:t>
            </w:r>
          </w:p>
        </w:tc>
        <w:tc>
          <w:tcPr>
            <w:tcW w:w="1418" w:type="dxa"/>
            <w:hideMark/>
          </w:tcPr>
          <w:p>
            <w:pPr>
              <w:rPr>
                <w:rFonts w:asciiTheme="minorHAnsi" w:hAnsiTheme="minorHAnsi" w:cstheme="minorHAnsi"/>
                <w:sz w:val="20"/>
                <w:szCs w:val="20"/>
              </w:rPr>
            </w:pPr>
            <w:r>
              <w:rPr>
                <w:rFonts w:asciiTheme="minorHAnsi" w:hAnsiTheme="minorHAnsi" w:cstheme="minorHAnsi"/>
                <w:sz w:val="20"/>
                <w:szCs w:val="20"/>
              </w:rPr>
              <w:t>-</w:t>
            </w:r>
          </w:p>
        </w:tc>
        <w:tc>
          <w:tcPr>
            <w:tcW w:w="1135" w:type="dxa"/>
            <w:hideMark/>
          </w:tcPr>
          <w:p>
            <w:pPr>
              <w:rPr>
                <w:rFonts w:asciiTheme="minorHAnsi" w:hAnsiTheme="minorHAnsi" w:cstheme="minorHAnsi"/>
                <w:sz w:val="20"/>
                <w:szCs w:val="20"/>
              </w:rPr>
            </w:pPr>
            <w:r>
              <w:rPr>
                <w:rFonts w:asciiTheme="minorHAnsi" w:hAnsiTheme="minorHAnsi" w:cstheme="minorHAnsi"/>
                <w:sz w:val="20"/>
                <w:szCs w:val="20"/>
              </w:rPr>
              <w:t>1967</w:t>
            </w:r>
          </w:p>
        </w:tc>
        <w:tc>
          <w:tcPr>
            <w:tcW w:w="1409" w:type="dxa"/>
            <w:hideMark/>
          </w:tcPr>
          <w:p>
            <w:pPr>
              <w:rPr>
                <w:rFonts w:asciiTheme="minorHAnsi" w:hAnsiTheme="minorHAnsi" w:cstheme="minorHAnsi"/>
                <w:sz w:val="20"/>
                <w:szCs w:val="20"/>
              </w:rPr>
            </w:pPr>
            <w:r>
              <w:rPr>
                <w:rFonts w:asciiTheme="minorHAnsi" w:hAnsiTheme="minorHAnsi" w:cstheme="minorHAnsi"/>
                <w:sz w:val="20"/>
                <w:szCs w:val="20"/>
              </w:rPr>
              <w:t>1983</w:t>
            </w:r>
          </w:p>
        </w:tc>
      </w:tr>
      <w:tr>
        <w:trPr>
          <w:trHeight w:val="510"/>
        </w:trPr>
        <w:tc>
          <w:tcPr>
            <w:tcW w:w="5098" w:type="dxa"/>
            <w:hideMark/>
          </w:tcPr>
          <w:p>
            <w:pPr>
              <w:rPr>
                <w:rFonts w:asciiTheme="minorHAnsi" w:hAnsiTheme="minorHAnsi" w:cstheme="minorHAnsi"/>
                <w:sz w:val="20"/>
                <w:szCs w:val="20"/>
                <w:lang w:val="en-US"/>
              </w:rPr>
            </w:pPr>
            <w:r>
              <w:rPr>
                <w:rFonts w:asciiTheme="minorHAnsi" w:hAnsiTheme="minorHAnsi" w:cstheme="minorHAnsi"/>
                <w:sz w:val="20"/>
                <w:szCs w:val="20"/>
                <w:lang w:val="en-US"/>
              </w:rPr>
              <w:t>Formerly Journal of Nuclear Energy Part C, Plasma Physics, Accelerators, Thermonuclear Research (1959- 1966)</w:t>
            </w:r>
          </w:p>
        </w:tc>
        <w:tc>
          <w:tcPr>
            <w:tcW w:w="1418" w:type="dxa"/>
            <w:hideMark/>
          </w:tcPr>
          <w:p>
            <w:pPr>
              <w:rPr>
                <w:rFonts w:asciiTheme="minorHAnsi" w:hAnsiTheme="minorHAnsi" w:cstheme="minorHAnsi"/>
                <w:sz w:val="20"/>
                <w:szCs w:val="20"/>
              </w:rPr>
            </w:pPr>
            <w:r>
              <w:rPr>
                <w:rFonts w:asciiTheme="minorHAnsi" w:hAnsiTheme="minorHAnsi" w:cstheme="minorHAnsi"/>
                <w:sz w:val="20"/>
                <w:szCs w:val="20"/>
              </w:rPr>
              <w:t>-</w:t>
            </w:r>
          </w:p>
        </w:tc>
        <w:tc>
          <w:tcPr>
            <w:tcW w:w="1135" w:type="dxa"/>
            <w:hideMark/>
          </w:tcPr>
          <w:p>
            <w:pPr>
              <w:rPr>
                <w:rFonts w:asciiTheme="minorHAnsi" w:hAnsiTheme="minorHAnsi" w:cstheme="minorHAnsi"/>
                <w:sz w:val="20"/>
                <w:szCs w:val="20"/>
              </w:rPr>
            </w:pPr>
            <w:r>
              <w:rPr>
                <w:rFonts w:asciiTheme="minorHAnsi" w:hAnsiTheme="minorHAnsi" w:cstheme="minorHAnsi"/>
                <w:sz w:val="20"/>
                <w:szCs w:val="20"/>
              </w:rPr>
              <w:t>1959/1960</w:t>
            </w:r>
          </w:p>
        </w:tc>
        <w:tc>
          <w:tcPr>
            <w:tcW w:w="1409" w:type="dxa"/>
            <w:hideMark/>
          </w:tcPr>
          <w:p>
            <w:pPr>
              <w:rPr>
                <w:rFonts w:asciiTheme="minorHAnsi" w:hAnsiTheme="minorHAnsi" w:cstheme="minorHAnsi"/>
                <w:sz w:val="20"/>
                <w:szCs w:val="20"/>
              </w:rPr>
            </w:pPr>
            <w:r>
              <w:rPr>
                <w:rFonts w:asciiTheme="minorHAnsi" w:hAnsiTheme="minorHAnsi" w:cstheme="minorHAnsi"/>
                <w:sz w:val="20"/>
                <w:szCs w:val="20"/>
              </w:rPr>
              <w:t>1966</w:t>
            </w:r>
          </w:p>
        </w:tc>
      </w:tr>
      <w:tr>
        <w:trPr>
          <w:trHeight w:val="270"/>
        </w:trPr>
        <w:tc>
          <w:tcPr>
            <w:tcW w:w="5098" w:type="dxa"/>
            <w:hideMark/>
          </w:tcPr>
          <w:p>
            <w:pPr>
              <w:rPr>
                <w:rFonts w:asciiTheme="minorHAnsi" w:hAnsiTheme="minorHAnsi" w:cstheme="minorHAnsi"/>
                <w:b/>
                <w:bCs/>
                <w:sz w:val="20"/>
                <w:szCs w:val="20"/>
              </w:rPr>
            </w:pPr>
            <w:r>
              <w:rPr>
                <w:rFonts w:asciiTheme="minorHAnsi" w:hAnsiTheme="minorHAnsi" w:cstheme="minorHAnsi"/>
                <w:b/>
                <w:bCs/>
                <w:sz w:val="20"/>
                <w:szCs w:val="20"/>
              </w:rPr>
              <w:t xml:space="preserve">Plasma </w:t>
            </w:r>
            <w:proofErr w:type="spellStart"/>
            <w:r>
              <w:rPr>
                <w:rFonts w:asciiTheme="minorHAnsi" w:hAnsiTheme="minorHAnsi" w:cstheme="minorHAnsi"/>
                <w:b/>
                <w:bCs/>
                <w:sz w:val="20"/>
                <w:szCs w:val="20"/>
              </w:rPr>
              <w:t>Research</w:t>
            </w:r>
            <w:proofErr w:type="spellEnd"/>
            <w:r>
              <w:rPr>
                <w:rFonts w:asciiTheme="minorHAnsi" w:hAnsiTheme="minorHAnsi" w:cstheme="minorHAnsi"/>
                <w:b/>
                <w:bCs/>
                <w:sz w:val="20"/>
                <w:szCs w:val="20"/>
              </w:rPr>
              <w:t xml:space="preserve"> Express**</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2516-1067</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2019</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b/>
                <w:bCs/>
                <w:sz w:val="20"/>
                <w:szCs w:val="20"/>
              </w:rPr>
            </w:pPr>
            <w:r>
              <w:rPr>
                <w:rFonts w:asciiTheme="minorHAnsi" w:hAnsiTheme="minorHAnsi" w:cstheme="minorHAnsi"/>
                <w:b/>
                <w:bCs/>
                <w:sz w:val="20"/>
                <w:szCs w:val="20"/>
              </w:rPr>
              <w:t xml:space="preserve">Plasma Science and </w:t>
            </w:r>
            <w:proofErr w:type="spellStart"/>
            <w:r>
              <w:rPr>
                <w:rFonts w:asciiTheme="minorHAnsi" w:hAnsiTheme="minorHAnsi" w:cstheme="minorHAnsi"/>
                <w:b/>
                <w:bCs/>
                <w:sz w:val="20"/>
                <w:szCs w:val="20"/>
              </w:rPr>
              <w:t>Technology</w:t>
            </w:r>
            <w:proofErr w:type="spellEnd"/>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2058-6272</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1999</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b/>
                <w:bCs/>
                <w:sz w:val="20"/>
                <w:szCs w:val="20"/>
              </w:rPr>
            </w:pPr>
            <w:r>
              <w:rPr>
                <w:rFonts w:asciiTheme="minorHAnsi" w:hAnsiTheme="minorHAnsi" w:cstheme="minorHAnsi"/>
                <w:b/>
                <w:bCs/>
                <w:sz w:val="20"/>
                <w:szCs w:val="20"/>
              </w:rPr>
              <w:t xml:space="preserve">Plasma Sources Science and </w:t>
            </w:r>
            <w:proofErr w:type="spellStart"/>
            <w:r>
              <w:rPr>
                <w:rFonts w:asciiTheme="minorHAnsi" w:hAnsiTheme="minorHAnsi" w:cstheme="minorHAnsi"/>
                <w:b/>
                <w:bCs/>
                <w:sz w:val="20"/>
                <w:szCs w:val="20"/>
              </w:rPr>
              <w:t>Technology</w:t>
            </w:r>
            <w:proofErr w:type="spellEnd"/>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1361-6595</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1992</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b/>
                <w:bCs/>
                <w:sz w:val="20"/>
                <w:szCs w:val="20"/>
                <w:lang w:val="en-US"/>
              </w:rPr>
            </w:pPr>
            <w:r>
              <w:rPr>
                <w:rFonts w:asciiTheme="minorHAnsi" w:hAnsiTheme="minorHAnsi" w:cstheme="minorHAnsi"/>
                <w:b/>
                <w:bCs/>
                <w:sz w:val="20"/>
                <w:szCs w:val="20"/>
                <w:lang w:val="en-US"/>
              </w:rPr>
              <w:t>Proceedings of the Physical Society (1958-1967)</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1958</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1967</w:t>
            </w:r>
          </w:p>
        </w:tc>
      </w:tr>
      <w:tr>
        <w:trPr>
          <w:trHeight w:val="260"/>
        </w:trPr>
        <w:tc>
          <w:tcPr>
            <w:tcW w:w="5098" w:type="dxa"/>
            <w:hideMark/>
          </w:tcPr>
          <w:p>
            <w:pPr>
              <w:rPr>
                <w:rFonts w:asciiTheme="minorHAnsi" w:hAnsiTheme="minorHAnsi" w:cstheme="minorHAnsi"/>
                <w:b/>
                <w:bCs/>
                <w:sz w:val="20"/>
                <w:szCs w:val="20"/>
                <w:lang w:val="en-US"/>
              </w:rPr>
            </w:pPr>
            <w:r>
              <w:rPr>
                <w:rFonts w:asciiTheme="minorHAnsi" w:hAnsiTheme="minorHAnsi" w:cstheme="minorHAnsi"/>
                <w:b/>
                <w:bCs/>
                <w:sz w:val="20"/>
                <w:szCs w:val="20"/>
                <w:lang w:val="en-US"/>
              </w:rPr>
              <w:t xml:space="preserve">Proceedings of the Physical Society Section A (1949-1957) </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1949</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1957</w:t>
            </w:r>
          </w:p>
        </w:tc>
      </w:tr>
      <w:tr>
        <w:trPr>
          <w:trHeight w:val="260"/>
        </w:trPr>
        <w:tc>
          <w:tcPr>
            <w:tcW w:w="5098" w:type="dxa"/>
            <w:hideMark/>
          </w:tcPr>
          <w:p>
            <w:pPr>
              <w:rPr>
                <w:rFonts w:asciiTheme="minorHAnsi" w:hAnsiTheme="minorHAnsi" w:cstheme="minorHAnsi"/>
                <w:b/>
                <w:bCs/>
                <w:sz w:val="20"/>
                <w:szCs w:val="20"/>
                <w:lang w:val="en-US"/>
              </w:rPr>
            </w:pPr>
            <w:r>
              <w:rPr>
                <w:rFonts w:asciiTheme="minorHAnsi" w:hAnsiTheme="minorHAnsi" w:cstheme="minorHAnsi"/>
                <w:b/>
                <w:bCs/>
                <w:sz w:val="20"/>
                <w:szCs w:val="20"/>
                <w:lang w:val="en-US"/>
              </w:rPr>
              <w:t xml:space="preserve">Proceedings of the Physical Society Section B (1949-1957) </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1949</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1957</w:t>
            </w:r>
          </w:p>
        </w:tc>
      </w:tr>
      <w:tr>
        <w:trPr>
          <w:trHeight w:val="260"/>
        </w:trPr>
        <w:tc>
          <w:tcPr>
            <w:tcW w:w="5098" w:type="dxa"/>
            <w:hideMark/>
          </w:tcPr>
          <w:p>
            <w:pPr>
              <w:rPr>
                <w:rFonts w:asciiTheme="minorHAnsi" w:hAnsiTheme="minorHAnsi" w:cstheme="minorHAnsi"/>
                <w:b/>
                <w:bCs/>
                <w:sz w:val="20"/>
                <w:szCs w:val="20"/>
                <w:lang w:val="en-US"/>
              </w:rPr>
            </w:pPr>
            <w:r>
              <w:rPr>
                <w:rFonts w:asciiTheme="minorHAnsi" w:hAnsiTheme="minorHAnsi" w:cstheme="minorHAnsi"/>
                <w:b/>
                <w:bCs/>
                <w:sz w:val="20"/>
                <w:szCs w:val="20"/>
                <w:lang w:val="en-US"/>
              </w:rPr>
              <w:t>Proceedings of the Physical Society (1926-1948)</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1926</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1948</w:t>
            </w:r>
          </w:p>
        </w:tc>
      </w:tr>
      <w:tr>
        <w:trPr>
          <w:trHeight w:val="260"/>
        </w:trPr>
        <w:tc>
          <w:tcPr>
            <w:tcW w:w="5098" w:type="dxa"/>
            <w:hideMark/>
          </w:tcPr>
          <w:p>
            <w:pPr>
              <w:rPr>
                <w:rFonts w:asciiTheme="minorHAnsi" w:hAnsiTheme="minorHAnsi" w:cstheme="minorHAnsi"/>
                <w:b/>
                <w:bCs/>
                <w:sz w:val="20"/>
                <w:szCs w:val="20"/>
                <w:lang w:val="en-US"/>
              </w:rPr>
            </w:pPr>
            <w:r>
              <w:rPr>
                <w:rFonts w:asciiTheme="minorHAnsi" w:hAnsiTheme="minorHAnsi" w:cstheme="minorHAnsi"/>
                <w:b/>
                <w:bCs/>
                <w:sz w:val="20"/>
                <w:szCs w:val="20"/>
                <w:lang w:val="en-US"/>
              </w:rPr>
              <w:t>Proceedings of the Physical Society of London (1874-1925)</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1874</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1925</w:t>
            </w:r>
          </w:p>
        </w:tc>
      </w:tr>
      <w:tr>
        <w:trPr>
          <w:trHeight w:val="260"/>
        </w:trPr>
        <w:tc>
          <w:tcPr>
            <w:tcW w:w="5098" w:type="dxa"/>
            <w:hideMark/>
          </w:tcPr>
          <w:p>
            <w:pPr>
              <w:rPr>
                <w:rFonts w:asciiTheme="minorHAnsi" w:hAnsiTheme="minorHAnsi" w:cstheme="minorHAnsi"/>
                <w:b/>
                <w:bCs/>
                <w:sz w:val="20"/>
                <w:szCs w:val="20"/>
                <w:lang w:val="en-US"/>
              </w:rPr>
            </w:pPr>
            <w:r>
              <w:rPr>
                <w:rFonts w:asciiTheme="minorHAnsi" w:hAnsiTheme="minorHAnsi" w:cstheme="minorHAnsi"/>
                <w:b/>
                <w:bCs/>
                <w:sz w:val="20"/>
                <w:szCs w:val="20"/>
                <w:lang w:val="en-US"/>
              </w:rPr>
              <w:t>Publications of the Astronomical Society of the Pacific</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1538-3873</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1889</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b/>
                <w:bCs/>
                <w:sz w:val="20"/>
                <w:szCs w:val="20"/>
              </w:rPr>
            </w:pPr>
            <w:r>
              <w:rPr>
                <w:rFonts w:asciiTheme="minorHAnsi" w:hAnsiTheme="minorHAnsi" w:cstheme="minorHAnsi"/>
                <w:b/>
                <w:bCs/>
                <w:sz w:val="20"/>
                <w:szCs w:val="20"/>
              </w:rPr>
              <w:t>Quantum Electronics</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1468-4799</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1993</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sz w:val="20"/>
                <w:szCs w:val="20"/>
                <w:lang w:val="en-GB"/>
              </w:rPr>
            </w:pPr>
            <w:r>
              <w:rPr>
                <w:rFonts w:asciiTheme="minorHAnsi" w:hAnsiTheme="minorHAnsi" w:cstheme="minorHAnsi"/>
                <w:sz w:val="20"/>
                <w:szCs w:val="20"/>
                <w:lang w:val="en-GB"/>
              </w:rPr>
              <w:t>Formerly: Soviet Journal of Quantum Electronics</w:t>
            </w:r>
          </w:p>
        </w:tc>
        <w:tc>
          <w:tcPr>
            <w:tcW w:w="1418" w:type="dxa"/>
            <w:hideMark/>
          </w:tcPr>
          <w:p>
            <w:pPr>
              <w:rPr>
                <w:rFonts w:asciiTheme="minorHAnsi" w:hAnsiTheme="minorHAnsi" w:cstheme="minorHAnsi"/>
                <w:sz w:val="20"/>
                <w:szCs w:val="20"/>
              </w:rPr>
            </w:pPr>
            <w:r>
              <w:rPr>
                <w:rFonts w:asciiTheme="minorHAnsi" w:hAnsiTheme="minorHAnsi" w:cstheme="minorHAnsi"/>
                <w:sz w:val="20"/>
                <w:szCs w:val="20"/>
              </w:rPr>
              <w:t>-</w:t>
            </w:r>
          </w:p>
        </w:tc>
        <w:tc>
          <w:tcPr>
            <w:tcW w:w="1135" w:type="dxa"/>
            <w:hideMark/>
          </w:tcPr>
          <w:p>
            <w:pPr>
              <w:rPr>
                <w:rFonts w:asciiTheme="minorHAnsi" w:hAnsiTheme="minorHAnsi" w:cstheme="minorHAnsi"/>
                <w:sz w:val="20"/>
                <w:szCs w:val="20"/>
              </w:rPr>
            </w:pPr>
            <w:r>
              <w:rPr>
                <w:rFonts w:asciiTheme="minorHAnsi" w:hAnsiTheme="minorHAnsi" w:cstheme="minorHAnsi"/>
                <w:sz w:val="20"/>
                <w:szCs w:val="20"/>
              </w:rPr>
              <w:t>1971</w:t>
            </w:r>
          </w:p>
        </w:tc>
        <w:tc>
          <w:tcPr>
            <w:tcW w:w="1409" w:type="dxa"/>
            <w:hideMark/>
          </w:tcPr>
          <w:p>
            <w:pPr>
              <w:rPr>
                <w:rFonts w:asciiTheme="minorHAnsi" w:hAnsiTheme="minorHAnsi" w:cstheme="minorHAnsi"/>
                <w:sz w:val="20"/>
                <w:szCs w:val="20"/>
              </w:rPr>
            </w:pPr>
            <w:r>
              <w:rPr>
                <w:rFonts w:asciiTheme="minorHAnsi" w:hAnsiTheme="minorHAnsi" w:cstheme="minorHAnsi"/>
                <w:sz w:val="20"/>
                <w:szCs w:val="20"/>
              </w:rPr>
              <w:t>1992</w:t>
            </w:r>
          </w:p>
        </w:tc>
      </w:tr>
      <w:tr>
        <w:trPr>
          <w:trHeight w:val="270"/>
        </w:trPr>
        <w:tc>
          <w:tcPr>
            <w:tcW w:w="5098" w:type="dxa"/>
            <w:hideMark/>
          </w:tcPr>
          <w:p>
            <w:pPr>
              <w:rPr>
                <w:rFonts w:asciiTheme="minorHAnsi" w:hAnsiTheme="minorHAnsi" w:cstheme="minorHAnsi"/>
                <w:b/>
                <w:bCs/>
                <w:sz w:val="20"/>
                <w:szCs w:val="20"/>
              </w:rPr>
            </w:pPr>
            <w:r>
              <w:rPr>
                <w:rFonts w:asciiTheme="minorHAnsi" w:hAnsiTheme="minorHAnsi" w:cstheme="minorHAnsi"/>
                <w:b/>
                <w:bCs/>
                <w:sz w:val="20"/>
                <w:szCs w:val="20"/>
              </w:rPr>
              <w:t xml:space="preserve">Quantum Science and </w:t>
            </w:r>
            <w:proofErr w:type="spellStart"/>
            <w:r>
              <w:rPr>
                <w:rFonts w:asciiTheme="minorHAnsi" w:hAnsiTheme="minorHAnsi" w:cstheme="minorHAnsi"/>
                <w:b/>
                <w:bCs/>
                <w:sz w:val="20"/>
                <w:szCs w:val="20"/>
              </w:rPr>
              <w:t>Technology</w:t>
            </w:r>
            <w:proofErr w:type="spellEnd"/>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2058-9565</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2016</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b/>
                <w:bCs/>
                <w:sz w:val="20"/>
                <w:szCs w:val="20"/>
                <w:lang w:val="en-GB"/>
              </w:rPr>
            </w:pPr>
            <w:r>
              <w:rPr>
                <w:rFonts w:asciiTheme="minorHAnsi" w:hAnsiTheme="minorHAnsi" w:cstheme="minorHAnsi"/>
                <w:b/>
                <w:bCs/>
                <w:sz w:val="20"/>
                <w:szCs w:val="20"/>
                <w:lang w:val="en-GB"/>
              </w:rPr>
              <w:t>Reports on Progress in Physics</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1361-6633</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1934</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b/>
                <w:bCs/>
                <w:sz w:val="20"/>
                <w:szCs w:val="20"/>
                <w:lang w:val="en-GB"/>
              </w:rPr>
            </w:pPr>
            <w:r>
              <w:rPr>
                <w:rFonts w:asciiTheme="minorHAnsi" w:hAnsiTheme="minorHAnsi" w:cstheme="minorHAnsi"/>
                <w:b/>
                <w:bCs/>
                <w:sz w:val="20"/>
                <w:szCs w:val="20"/>
                <w:lang w:val="en-GB"/>
              </w:rPr>
              <w:t>Research in Astronomy and Astrophysics</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2397-6209</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2009</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sz w:val="20"/>
                <w:szCs w:val="20"/>
                <w:lang w:val="en-GB"/>
              </w:rPr>
            </w:pPr>
            <w:r>
              <w:rPr>
                <w:rFonts w:asciiTheme="minorHAnsi" w:hAnsiTheme="minorHAnsi" w:cstheme="minorHAnsi"/>
                <w:sz w:val="20"/>
                <w:szCs w:val="20"/>
                <w:lang w:val="en-GB"/>
              </w:rPr>
              <w:t>Formerly Chinese Journal of Astronomy and Astrophysics</w:t>
            </w:r>
          </w:p>
        </w:tc>
        <w:tc>
          <w:tcPr>
            <w:tcW w:w="1418" w:type="dxa"/>
            <w:hideMark/>
          </w:tcPr>
          <w:p>
            <w:pPr>
              <w:rPr>
                <w:rFonts w:asciiTheme="minorHAnsi" w:hAnsiTheme="minorHAnsi" w:cstheme="minorHAnsi"/>
                <w:sz w:val="20"/>
                <w:szCs w:val="20"/>
              </w:rPr>
            </w:pPr>
            <w:r>
              <w:rPr>
                <w:rFonts w:asciiTheme="minorHAnsi" w:hAnsiTheme="minorHAnsi" w:cstheme="minorHAnsi"/>
                <w:sz w:val="20"/>
                <w:szCs w:val="20"/>
              </w:rPr>
              <w:t>-</w:t>
            </w:r>
          </w:p>
        </w:tc>
        <w:tc>
          <w:tcPr>
            <w:tcW w:w="1135" w:type="dxa"/>
            <w:hideMark/>
          </w:tcPr>
          <w:p>
            <w:pPr>
              <w:rPr>
                <w:rFonts w:asciiTheme="minorHAnsi" w:hAnsiTheme="minorHAnsi" w:cstheme="minorHAnsi"/>
                <w:sz w:val="20"/>
                <w:szCs w:val="20"/>
              </w:rPr>
            </w:pPr>
            <w:r>
              <w:rPr>
                <w:rFonts w:asciiTheme="minorHAnsi" w:hAnsiTheme="minorHAnsi" w:cstheme="minorHAnsi"/>
                <w:sz w:val="20"/>
                <w:szCs w:val="20"/>
              </w:rPr>
              <w:t>2001</w:t>
            </w:r>
          </w:p>
        </w:tc>
        <w:tc>
          <w:tcPr>
            <w:tcW w:w="1409" w:type="dxa"/>
            <w:hideMark/>
          </w:tcPr>
          <w:p>
            <w:pPr>
              <w:rPr>
                <w:rFonts w:asciiTheme="minorHAnsi" w:hAnsiTheme="minorHAnsi" w:cstheme="minorHAnsi"/>
                <w:sz w:val="20"/>
                <w:szCs w:val="20"/>
              </w:rPr>
            </w:pPr>
            <w:r>
              <w:rPr>
                <w:rFonts w:asciiTheme="minorHAnsi" w:hAnsiTheme="minorHAnsi" w:cstheme="minorHAnsi"/>
                <w:sz w:val="20"/>
                <w:szCs w:val="20"/>
              </w:rPr>
              <w:t>2008</w:t>
            </w:r>
          </w:p>
        </w:tc>
      </w:tr>
      <w:tr>
        <w:trPr>
          <w:trHeight w:val="270"/>
        </w:trPr>
        <w:tc>
          <w:tcPr>
            <w:tcW w:w="5098" w:type="dxa"/>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Russian</w:t>
            </w:r>
            <w:proofErr w:type="spellEnd"/>
            <w:r>
              <w:rPr>
                <w:rFonts w:asciiTheme="minorHAnsi" w:hAnsiTheme="minorHAnsi" w:cstheme="minorHAnsi"/>
                <w:b/>
                <w:bCs/>
                <w:sz w:val="20"/>
                <w:szCs w:val="20"/>
              </w:rPr>
              <w:t xml:space="preserve"> Chemical </w:t>
            </w:r>
            <w:proofErr w:type="spellStart"/>
            <w:r>
              <w:rPr>
                <w:rFonts w:asciiTheme="minorHAnsi" w:hAnsiTheme="minorHAnsi" w:cstheme="minorHAnsi"/>
                <w:b/>
                <w:bCs/>
                <w:sz w:val="20"/>
                <w:szCs w:val="20"/>
              </w:rPr>
              <w:t>Reviews</w:t>
            </w:r>
            <w:proofErr w:type="spellEnd"/>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1468-4837</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1960</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Russian</w:t>
            </w:r>
            <w:proofErr w:type="spellEnd"/>
            <w:r>
              <w:rPr>
                <w:rFonts w:asciiTheme="minorHAnsi" w:hAnsiTheme="minorHAnsi" w:cstheme="minorHAnsi"/>
                <w:b/>
                <w:bCs/>
                <w:sz w:val="20"/>
                <w:szCs w:val="20"/>
              </w:rPr>
              <w:t xml:space="preserve"> </w:t>
            </w:r>
            <w:proofErr w:type="spellStart"/>
            <w:r>
              <w:rPr>
                <w:rFonts w:asciiTheme="minorHAnsi" w:hAnsiTheme="minorHAnsi" w:cstheme="minorHAnsi"/>
                <w:b/>
                <w:bCs/>
                <w:sz w:val="20"/>
                <w:szCs w:val="20"/>
              </w:rPr>
              <w:t>Mathematical</w:t>
            </w:r>
            <w:proofErr w:type="spellEnd"/>
            <w:r>
              <w:rPr>
                <w:rFonts w:asciiTheme="minorHAnsi" w:hAnsiTheme="minorHAnsi" w:cstheme="minorHAnsi"/>
                <w:b/>
                <w:bCs/>
                <w:sz w:val="20"/>
                <w:szCs w:val="20"/>
              </w:rPr>
              <w:t xml:space="preserve"> </w:t>
            </w:r>
            <w:proofErr w:type="spellStart"/>
            <w:r>
              <w:rPr>
                <w:rFonts w:asciiTheme="minorHAnsi" w:hAnsiTheme="minorHAnsi" w:cstheme="minorHAnsi"/>
                <w:b/>
                <w:bCs/>
                <w:sz w:val="20"/>
                <w:szCs w:val="20"/>
              </w:rPr>
              <w:t>Surveys</w:t>
            </w:r>
            <w:proofErr w:type="spellEnd"/>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1468-4829</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1960</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b/>
                <w:bCs/>
                <w:sz w:val="20"/>
                <w:szCs w:val="20"/>
              </w:rPr>
            </w:pPr>
            <w:proofErr w:type="spellStart"/>
            <w:proofErr w:type="gramStart"/>
            <w:r>
              <w:rPr>
                <w:rFonts w:asciiTheme="minorHAnsi" w:hAnsiTheme="minorHAnsi" w:cstheme="minorHAnsi"/>
                <w:b/>
                <w:bCs/>
                <w:sz w:val="20"/>
                <w:szCs w:val="20"/>
              </w:rPr>
              <w:t>Sbornik:Mathematics</w:t>
            </w:r>
            <w:proofErr w:type="spellEnd"/>
            <w:proofErr w:type="gramEnd"/>
            <w:r>
              <w:rPr>
                <w:rFonts w:asciiTheme="minorHAnsi" w:hAnsiTheme="minorHAnsi" w:cstheme="minorHAnsi"/>
                <w:b/>
                <w:bCs/>
                <w:sz w:val="20"/>
                <w:szCs w:val="20"/>
              </w:rPr>
              <w:t xml:space="preserve"> *</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1468-4802</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1995</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sz w:val="20"/>
                <w:szCs w:val="20"/>
                <w:lang w:val="en-GB"/>
              </w:rPr>
            </w:pPr>
            <w:r>
              <w:rPr>
                <w:rFonts w:asciiTheme="minorHAnsi" w:hAnsiTheme="minorHAnsi" w:cstheme="minorHAnsi"/>
                <w:sz w:val="20"/>
                <w:szCs w:val="20"/>
                <w:lang w:val="en-GB"/>
              </w:rPr>
              <w:t xml:space="preserve">Formerly: Russian Academy of Sciences: </w:t>
            </w:r>
            <w:proofErr w:type="spellStart"/>
            <w:r>
              <w:rPr>
                <w:rFonts w:asciiTheme="minorHAnsi" w:hAnsiTheme="minorHAnsi" w:cstheme="minorHAnsi"/>
                <w:sz w:val="20"/>
                <w:szCs w:val="20"/>
                <w:lang w:val="en-GB"/>
              </w:rPr>
              <w:t>Sbornik</w:t>
            </w:r>
            <w:proofErr w:type="spellEnd"/>
            <w:r>
              <w:rPr>
                <w:rFonts w:asciiTheme="minorHAnsi" w:hAnsiTheme="minorHAnsi" w:cstheme="minorHAnsi"/>
                <w:sz w:val="20"/>
                <w:szCs w:val="20"/>
                <w:lang w:val="en-GB"/>
              </w:rPr>
              <w:t xml:space="preserve"> Mathematics</w:t>
            </w:r>
          </w:p>
        </w:tc>
        <w:tc>
          <w:tcPr>
            <w:tcW w:w="1418" w:type="dxa"/>
            <w:hideMark/>
          </w:tcPr>
          <w:p>
            <w:pPr>
              <w:rPr>
                <w:rFonts w:asciiTheme="minorHAnsi" w:hAnsiTheme="minorHAnsi" w:cstheme="minorHAnsi"/>
                <w:sz w:val="20"/>
                <w:szCs w:val="20"/>
              </w:rPr>
            </w:pPr>
            <w:r>
              <w:rPr>
                <w:rFonts w:asciiTheme="minorHAnsi" w:hAnsiTheme="minorHAnsi" w:cstheme="minorHAnsi"/>
                <w:sz w:val="20"/>
                <w:szCs w:val="20"/>
              </w:rPr>
              <w:t>-</w:t>
            </w:r>
          </w:p>
        </w:tc>
        <w:tc>
          <w:tcPr>
            <w:tcW w:w="1135" w:type="dxa"/>
            <w:hideMark/>
          </w:tcPr>
          <w:p>
            <w:pPr>
              <w:rPr>
                <w:rFonts w:asciiTheme="minorHAnsi" w:hAnsiTheme="minorHAnsi" w:cstheme="minorHAnsi"/>
                <w:sz w:val="20"/>
                <w:szCs w:val="20"/>
              </w:rPr>
            </w:pPr>
            <w:r>
              <w:rPr>
                <w:rFonts w:asciiTheme="minorHAnsi" w:hAnsiTheme="minorHAnsi" w:cstheme="minorHAnsi"/>
                <w:sz w:val="20"/>
                <w:szCs w:val="20"/>
              </w:rPr>
              <w:t>1993</w:t>
            </w:r>
          </w:p>
        </w:tc>
        <w:tc>
          <w:tcPr>
            <w:tcW w:w="1409" w:type="dxa"/>
            <w:hideMark/>
          </w:tcPr>
          <w:p>
            <w:pPr>
              <w:rPr>
                <w:rFonts w:asciiTheme="minorHAnsi" w:hAnsiTheme="minorHAnsi" w:cstheme="minorHAnsi"/>
                <w:sz w:val="20"/>
                <w:szCs w:val="20"/>
              </w:rPr>
            </w:pPr>
            <w:r>
              <w:rPr>
                <w:rFonts w:asciiTheme="minorHAnsi" w:hAnsiTheme="minorHAnsi" w:cstheme="minorHAnsi"/>
                <w:sz w:val="20"/>
                <w:szCs w:val="20"/>
              </w:rPr>
              <w:t>1995</w:t>
            </w:r>
          </w:p>
        </w:tc>
      </w:tr>
      <w:tr>
        <w:trPr>
          <w:trHeight w:val="270"/>
        </w:trPr>
        <w:tc>
          <w:tcPr>
            <w:tcW w:w="5098" w:type="dxa"/>
            <w:hideMark/>
          </w:tcPr>
          <w:p>
            <w:pPr>
              <w:rPr>
                <w:rFonts w:asciiTheme="minorHAnsi" w:hAnsiTheme="minorHAnsi" w:cstheme="minorHAnsi"/>
                <w:sz w:val="20"/>
                <w:szCs w:val="20"/>
                <w:lang w:val="en-GB"/>
              </w:rPr>
            </w:pPr>
            <w:r>
              <w:rPr>
                <w:rFonts w:asciiTheme="minorHAnsi" w:hAnsiTheme="minorHAnsi" w:cstheme="minorHAnsi"/>
                <w:sz w:val="20"/>
                <w:szCs w:val="20"/>
                <w:lang w:val="en-GB"/>
              </w:rPr>
              <w:t xml:space="preserve">Formerly: Mathematics of the USSR – </w:t>
            </w:r>
            <w:proofErr w:type="spellStart"/>
            <w:r>
              <w:rPr>
                <w:rFonts w:asciiTheme="minorHAnsi" w:hAnsiTheme="minorHAnsi" w:cstheme="minorHAnsi"/>
                <w:sz w:val="20"/>
                <w:szCs w:val="20"/>
                <w:lang w:val="en-GB"/>
              </w:rPr>
              <w:t>Sbornik</w:t>
            </w:r>
            <w:proofErr w:type="spellEnd"/>
          </w:p>
        </w:tc>
        <w:tc>
          <w:tcPr>
            <w:tcW w:w="1418" w:type="dxa"/>
            <w:hideMark/>
          </w:tcPr>
          <w:p>
            <w:pPr>
              <w:rPr>
                <w:rFonts w:asciiTheme="minorHAnsi" w:hAnsiTheme="minorHAnsi" w:cstheme="minorHAnsi"/>
                <w:sz w:val="20"/>
                <w:szCs w:val="20"/>
              </w:rPr>
            </w:pPr>
            <w:r>
              <w:rPr>
                <w:rFonts w:asciiTheme="minorHAnsi" w:hAnsiTheme="minorHAnsi" w:cstheme="minorHAnsi"/>
                <w:sz w:val="20"/>
                <w:szCs w:val="20"/>
              </w:rPr>
              <w:t>-</w:t>
            </w:r>
          </w:p>
        </w:tc>
        <w:tc>
          <w:tcPr>
            <w:tcW w:w="1135" w:type="dxa"/>
            <w:hideMark/>
          </w:tcPr>
          <w:p>
            <w:pPr>
              <w:rPr>
                <w:rFonts w:asciiTheme="minorHAnsi" w:hAnsiTheme="minorHAnsi" w:cstheme="minorHAnsi"/>
                <w:sz w:val="20"/>
                <w:szCs w:val="20"/>
              </w:rPr>
            </w:pPr>
            <w:r>
              <w:rPr>
                <w:rFonts w:asciiTheme="minorHAnsi" w:hAnsiTheme="minorHAnsi" w:cstheme="minorHAnsi"/>
                <w:sz w:val="20"/>
                <w:szCs w:val="20"/>
              </w:rPr>
              <w:t>1967</w:t>
            </w:r>
          </w:p>
        </w:tc>
        <w:tc>
          <w:tcPr>
            <w:tcW w:w="1409" w:type="dxa"/>
            <w:hideMark/>
          </w:tcPr>
          <w:p>
            <w:pPr>
              <w:rPr>
                <w:rFonts w:asciiTheme="minorHAnsi" w:hAnsiTheme="minorHAnsi" w:cstheme="minorHAnsi"/>
                <w:sz w:val="20"/>
                <w:szCs w:val="20"/>
              </w:rPr>
            </w:pPr>
            <w:r>
              <w:rPr>
                <w:rFonts w:asciiTheme="minorHAnsi" w:hAnsiTheme="minorHAnsi" w:cstheme="minorHAnsi"/>
                <w:sz w:val="20"/>
                <w:szCs w:val="20"/>
              </w:rPr>
              <w:t>1993</w:t>
            </w:r>
          </w:p>
        </w:tc>
      </w:tr>
      <w:tr>
        <w:trPr>
          <w:trHeight w:val="270"/>
        </w:trPr>
        <w:tc>
          <w:tcPr>
            <w:tcW w:w="5098" w:type="dxa"/>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Semiconductor</w:t>
            </w:r>
            <w:proofErr w:type="spellEnd"/>
            <w:r>
              <w:rPr>
                <w:rFonts w:asciiTheme="minorHAnsi" w:hAnsiTheme="minorHAnsi" w:cstheme="minorHAnsi"/>
                <w:b/>
                <w:bCs/>
                <w:sz w:val="20"/>
                <w:szCs w:val="20"/>
              </w:rPr>
              <w:t xml:space="preserve"> Science and </w:t>
            </w:r>
            <w:proofErr w:type="spellStart"/>
            <w:r>
              <w:rPr>
                <w:rFonts w:asciiTheme="minorHAnsi" w:hAnsiTheme="minorHAnsi" w:cstheme="minorHAnsi"/>
                <w:b/>
                <w:bCs/>
                <w:sz w:val="20"/>
                <w:szCs w:val="20"/>
              </w:rPr>
              <w:t>Technology</w:t>
            </w:r>
            <w:proofErr w:type="spellEnd"/>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1361-6641</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1986</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5098" w:type="dxa"/>
            <w:hideMark/>
          </w:tcPr>
          <w:p>
            <w:pPr>
              <w:rPr>
                <w:rFonts w:asciiTheme="minorHAnsi" w:hAnsiTheme="minorHAnsi" w:cstheme="minorHAnsi"/>
                <w:b/>
                <w:bCs/>
                <w:sz w:val="20"/>
                <w:szCs w:val="20"/>
              </w:rPr>
            </w:pPr>
            <w:r>
              <w:rPr>
                <w:rFonts w:asciiTheme="minorHAnsi" w:hAnsiTheme="minorHAnsi" w:cstheme="minorHAnsi"/>
                <w:b/>
                <w:bCs/>
                <w:sz w:val="20"/>
                <w:szCs w:val="20"/>
              </w:rPr>
              <w:t>Smart Materials and Structures</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1361-665X</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1992</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Superconductor</w:t>
            </w:r>
            <w:proofErr w:type="spellEnd"/>
            <w:r>
              <w:rPr>
                <w:rFonts w:asciiTheme="minorHAnsi" w:hAnsiTheme="minorHAnsi" w:cstheme="minorHAnsi"/>
                <w:b/>
                <w:bCs/>
                <w:sz w:val="20"/>
                <w:szCs w:val="20"/>
              </w:rPr>
              <w:t xml:space="preserve"> Science and </w:t>
            </w:r>
            <w:proofErr w:type="spellStart"/>
            <w:r>
              <w:rPr>
                <w:rFonts w:asciiTheme="minorHAnsi" w:hAnsiTheme="minorHAnsi" w:cstheme="minorHAnsi"/>
                <w:b/>
                <w:bCs/>
                <w:sz w:val="20"/>
                <w:szCs w:val="20"/>
              </w:rPr>
              <w:t>Technology</w:t>
            </w:r>
            <w:proofErr w:type="spellEnd"/>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1361-6668</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1988</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hideMark/>
          </w:tcPr>
          <w:p>
            <w:pPr>
              <w:rPr>
                <w:rFonts w:asciiTheme="minorHAnsi" w:hAnsiTheme="minorHAnsi" w:cstheme="minorHAnsi"/>
                <w:b/>
                <w:bCs/>
                <w:sz w:val="20"/>
                <w:szCs w:val="20"/>
                <w:lang w:val="en-GB"/>
              </w:rPr>
            </w:pPr>
            <w:r>
              <w:rPr>
                <w:rFonts w:asciiTheme="minorHAnsi" w:hAnsiTheme="minorHAnsi" w:cstheme="minorHAnsi"/>
                <w:b/>
                <w:bCs/>
                <w:sz w:val="20"/>
                <w:szCs w:val="20"/>
                <w:lang w:val="en-GB"/>
              </w:rPr>
              <w:t>Surface Topography: Metrology and Properties</w:t>
            </w:r>
          </w:p>
        </w:tc>
        <w:tc>
          <w:tcPr>
            <w:tcW w:w="1418" w:type="dxa"/>
            <w:hideMark/>
          </w:tcPr>
          <w:p>
            <w:pPr>
              <w:rPr>
                <w:rFonts w:asciiTheme="minorHAnsi" w:hAnsiTheme="minorHAnsi" w:cstheme="minorHAnsi"/>
                <w:b/>
                <w:bCs/>
                <w:sz w:val="20"/>
                <w:szCs w:val="20"/>
              </w:rPr>
            </w:pPr>
            <w:r>
              <w:rPr>
                <w:rFonts w:asciiTheme="minorHAnsi" w:hAnsiTheme="minorHAnsi" w:cstheme="minorHAnsi"/>
                <w:b/>
                <w:bCs/>
                <w:sz w:val="20"/>
                <w:szCs w:val="20"/>
              </w:rPr>
              <w:t>2051-672X</w:t>
            </w:r>
          </w:p>
        </w:tc>
        <w:tc>
          <w:tcPr>
            <w:tcW w:w="1135" w:type="dxa"/>
            <w:hideMark/>
          </w:tcPr>
          <w:p>
            <w:pPr>
              <w:rPr>
                <w:rFonts w:asciiTheme="minorHAnsi" w:hAnsiTheme="minorHAnsi" w:cstheme="minorHAnsi"/>
                <w:b/>
                <w:bCs/>
                <w:sz w:val="20"/>
                <w:szCs w:val="20"/>
              </w:rPr>
            </w:pPr>
            <w:r>
              <w:rPr>
                <w:rFonts w:asciiTheme="minorHAnsi" w:hAnsiTheme="minorHAnsi" w:cstheme="minorHAnsi"/>
                <w:b/>
                <w:bCs/>
                <w:sz w:val="20"/>
                <w:szCs w:val="20"/>
              </w:rPr>
              <w:t>2013</w:t>
            </w:r>
          </w:p>
        </w:tc>
        <w:tc>
          <w:tcPr>
            <w:tcW w:w="1409" w:type="dxa"/>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5098" w:type="dxa"/>
            <w:tcBorders>
              <w:bottom w:val="single" w:sz="4" w:space="0" w:color="auto"/>
            </w:tcBorders>
            <w:hideMark/>
          </w:tcPr>
          <w:p>
            <w:pPr>
              <w:rPr>
                <w:rFonts w:asciiTheme="minorHAnsi" w:hAnsiTheme="minorHAnsi" w:cstheme="minorHAnsi"/>
                <w:b/>
                <w:bCs/>
                <w:sz w:val="20"/>
                <w:szCs w:val="20"/>
                <w:lang w:val="en-GB"/>
              </w:rPr>
            </w:pPr>
            <w:r>
              <w:rPr>
                <w:rFonts w:asciiTheme="minorHAnsi" w:hAnsiTheme="minorHAnsi" w:cstheme="minorHAnsi"/>
                <w:b/>
                <w:bCs/>
                <w:sz w:val="20"/>
                <w:szCs w:val="20"/>
                <w:lang w:val="en-GB"/>
              </w:rPr>
              <w:t>Transactions of the Optical Society (1899-1932)</w:t>
            </w:r>
          </w:p>
        </w:tc>
        <w:tc>
          <w:tcPr>
            <w:tcW w:w="1418" w:type="dxa"/>
            <w:tcBorders>
              <w:bottom w:val="single" w:sz="4" w:space="0" w:color="auto"/>
            </w:tcBorders>
            <w:hideMark/>
          </w:tcPr>
          <w:p>
            <w:pPr>
              <w:rPr>
                <w:rFonts w:asciiTheme="minorHAnsi" w:hAnsiTheme="minorHAnsi" w:cstheme="minorHAnsi"/>
                <w:b/>
                <w:bCs/>
                <w:sz w:val="20"/>
                <w:szCs w:val="20"/>
              </w:rPr>
            </w:pPr>
            <w:r>
              <w:rPr>
                <w:rFonts w:asciiTheme="minorHAnsi" w:hAnsiTheme="minorHAnsi" w:cstheme="minorHAnsi"/>
                <w:b/>
                <w:bCs/>
                <w:sz w:val="20"/>
                <w:szCs w:val="20"/>
              </w:rPr>
              <w:t>-</w:t>
            </w:r>
          </w:p>
        </w:tc>
        <w:tc>
          <w:tcPr>
            <w:tcW w:w="1135" w:type="dxa"/>
            <w:tcBorders>
              <w:bottom w:val="single" w:sz="4" w:space="0" w:color="auto"/>
            </w:tcBorders>
            <w:hideMark/>
          </w:tcPr>
          <w:p>
            <w:pPr>
              <w:rPr>
                <w:rFonts w:asciiTheme="minorHAnsi" w:hAnsiTheme="minorHAnsi" w:cstheme="minorHAnsi"/>
                <w:b/>
                <w:bCs/>
                <w:sz w:val="20"/>
                <w:szCs w:val="20"/>
              </w:rPr>
            </w:pPr>
            <w:r>
              <w:rPr>
                <w:rFonts w:asciiTheme="minorHAnsi" w:hAnsiTheme="minorHAnsi" w:cstheme="minorHAnsi"/>
                <w:b/>
                <w:bCs/>
                <w:sz w:val="20"/>
                <w:szCs w:val="20"/>
              </w:rPr>
              <w:t>1899</w:t>
            </w:r>
          </w:p>
        </w:tc>
        <w:tc>
          <w:tcPr>
            <w:tcW w:w="1409" w:type="dxa"/>
            <w:tcBorders>
              <w:bottom w:val="single" w:sz="4" w:space="0" w:color="auto"/>
            </w:tcBorders>
            <w:hideMark/>
          </w:tcPr>
          <w:p>
            <w:pPr>
              <w:rPr>
                <w:rFonts w:asciiTheme="minorHAnsi" w:hAnsiTheme="minorHAnsi" w:cstheme="minorHAnsi"/>
                <w:b/>
                <w:bCs/>
                <w:sz w:val="20"/>
                <w:szCs w:val="20"/>
              </w:rPr>
            </w:pPr>
            <w:r>
              <w:rPr>
                <w:rFonts w:asciiTheme="minorHAnsi" w:hAnsiTheme="minorHAnsi" w:cstheme="minorHAnsi"/>
                <w:b/>
                <w:bCs/>
                <w:sz w:val="20"/>
                <w:szCs w:val="20"/>
              </w:rPr>
              <w:t>1932</w:t>
            </w:r>
          </w:p>
        </w:tc>
      </w:tr>
      <w:tr>
        <w:trPr>
          <w:trHeight w:val="270"/>
        </w:trPr>
        <w:tc>
          <w:tcPr>
            <w:tcW w:w="5098" w:type="dxa"/>
            <w:tcBorders>
              <w:bottom w:val="single" w:sz="4" w:space="0" w:color="auto"/>
            </w:tcBorders>
            <w:hideMark/>
          </w:tcPr>
          <w:p>
            <w:pPr>
              <w:rPr>
                <w:rFonts w:asciiTheme="minorHAnsi" w:hAnsiTheme="minorHAnsi" w:cstheme="minorHAnsi"/>
                <w:b/>
                <w:bCs/>
                <w:sz w:val="20"/>
                <w:szCs w:val="20"/>
              </w:rPr>
            </w:pPr>
            <w:proofErr w:type="spellStart"/>
            <w:r>
              <w:rPr>
                <w:rFonts w:asciiTheme="minorHAnsi" w:hAnsiTheme="minorHAnsi" w:cstheme="minorHAnsi"/>
                <w:b/>
                <w:bCs/>
                <w:sz w:val="20"/>
                <w:szCs w:val="20"/>
              </w:rPr>
              <w:t>Translational</w:t>
            </w:r>
            <w:proofErr w:type="spellEnd"/>
            <w:r>
              <w:rPr>
                <w:rFonts w:asciiTheme="minorHAnsi" w:hAnsiTheme="minorHAnsi" w:cstheme="minorHAnsi"/>
                <w:b/>
                <w:bCs/>
                <w:sz w:val="20"/>
                <w:szCs w:val="20"/>
              </w:rPr>
              <w:t xml:space="preserve"> Materials </w:t>
            </w:r>
            <w:proofErr w:type="spellStart"/>
            <w:r>
              <w:rPr>
                <w:rFonts w:asciiTheme="minorHAnsi" w:hAnsiTheme="minorHAnsi" w:cstheme="minorHAnsi"/>
                <w:b/>
                <w:bCs/>
                <w:sz w:val="20"/>
                <w:szCs w:val="20"/>
              </w:rPr>
              <w:t>Research</w:t>
            </w:r>
            <w:proofErr w:type="spellEnd"/>
          </w:p>
        </w:tc>
        <w:tc>
          <w:tcPr>
            <w:tcW w:w="1418" w:type="dxa"/>
            <w:tcBorders>
              <w:bottom w:val="single" w:sz="4" w:space="0" w:color="auto"/>
            </w:tcBorders>
            <w:hideMark/>
          </w:tcPr>
          <w:p>
            <w:pPr>
              <w:rPr>
                <w:rFonts w:asciiTheme="minorHAnsi" w:hAnsiTheme="minorHAnsi" w:cstheme="minorHAnsi"/>
                <w:b/>
                <w:bCs/>
                <w:sz w:val="20"/>
                <w:szCs w:val="20"/>
              </w:rPr>
            </w:pPr>
            <w:r>
              <w:rPr>
                <w:rFonts w:asciiTheme="minorHAnsi" w:hAnsiTheme="minorHAnsi" w:cstheme="minorHAnsi"/>
                <w:b/>
                <w:bCs/>
                <w:sz w:val="20"/>
                <w:szCs w:val="20"/>
              </w:rPr>
              <w:t>2053-1613</w:t>
            </w:r>
          </w:p>
        </w:tc>
        <w:tc>
          <w:tcPr>
            <w:tcW w:w="1135" w:type="dxa"/>
            <w:tcBorders>
              <w:bottom w:val="single" w:sz="4" w:space="0" w:color="auto"/>
            </w:tcBorders>
            <w:hideMark/>
          </w:tcPr>
          <w:p>
            <w:pPr>
              <w:rPr>
                <w:rFonts w:asciiTheme="minorHAnsi" w:hAnsiTheme="minorHAnsi" w:cstheme="minorHAnsi"/>
                <w:b/>
                <w:bCs/>
                <w:sz w:val="20"/>
                <w:szCs w:val="20"/>
              </w:rPr>
            </w:pPr>
            <w:r>
              <w:rPr>
                <w:rFonts w:asciiTheme="minorHAnsi" w:hAnsiTheme="minorHAnsi" w:cstheme="minorHAnsi"/>
                <w:b/>
                <w:bCs/>
                <w:sz w:val="20"/>
                <w:szCs w:val="20"/>
              </w:rPr>
              <w:t>2014</w:t>
            </w:r>
          </w:p>
        </w:tc>
        <w:tc>
          <w:tcPr>
            <w:tcW w:w="1409" w:type="dxa"/>
            <w:tcBorders>
              <w:bottom w:val="single" w:sz="4" w:space="0" w:color="auto"/>
            </w:tcBorders>
            <w:hideMark/>
          </w:tcPr>
          <w:p>
            <w:pPr>
              <w:rPr>
                <w:rFonts w:asciiTheme="minorHAnsi" w:hAnsiTheme="minorHAnsi" w:cstheme="minorHAnsi"/>
                <w:b/>
                <w:bCs/>
                <w:sz w:val="20"/>
                <w:szCs w:val="20"/>
              </w:rPr>
            </w:pPr>
            <w:r>
              <w:rPr>
                <w:rFonts w:asciiTheme="minorHAnsi" w:hAnsiTheme="minorHAnsi" w:cstheme="minorHAnsi"/>
                <w:b/>
                <w:bCs/>
                <w:sz w:val="20"/>
                <w:szCs w:val="20"/>
              </w:rPr>
              <w:t>2018</w:t>
            </w:r>
          </w:p>
        </w:tc>
      </w:tr>
      <w:tr>
        <w:trPr>
          <w:trHeight w:val="260"/>
        </w:trPr>
        <w:tc>
          <w:tcPr>
            <w:tcW w:w="5098" w:type="dxa"/>
            <w:tcBorders>
              <w:top w:val="single" w:sz="4" w:space="0" w:color="auto"/>
              <w:left w:val="nil"/>
              <w:bottom w:val="nil"/>
              <w:right w:val="nil"/>
            </w:tcBorders>
            <w:noWrap/>
            <w:hideMark/>
          </w:tcPr>
          <w:p>
            <w:pPr>
              <w:rPr>
                <w:b/>
                <w:bCs/>
                <w:sz w:val="20"/>
                <w:szCs w:val="20"/>
              </w:rPr>
            </w:pPr>
            <w:r>
              <w:rPr>
                <w:b/>
                <w:bCs/>
                <w:sz w:val="20"/>
                <w:szCs w:val="20"/>
              </w:rPr>
              <w:t> </w:t>
            </w:r>
          </w:p>
        </w:tc>
        <w:tc>
          <w:tcPr>
            <w:tcW w:w="1418" w:type="dxa"/>
            <w:tcBorders>
              <w:top w:val="single" w:sz="4" w:space="0" w:color="auto"/>
              <w:left w:val="nil"/>
              <w:bottom w:val="nil"/>
              <w:right w:val="nil"/>
            </w:tcBorders>
            <w:noWrap/>
            <w:hideMark/>
          </w:tcPr>
          <w:p>
            <w:pPr>
              <w:rPr>
                <w:sz w:val="20"/>
                <w:szCs w:val="20"/>
              </w:rPr>
            </w:pPr>
            <w:r>
              <w:rPr>
                <w:sz w:val="20"/>
                <w:szCs w:val="20"/>
              </w:rPr>
              <w:t> </w:t>
            </w:r>
          </w:p>
        </w:tc>
        <w:tc>
          <w:tcPr>
            <w:tcW w:w="1135" w:type="dxa"/>
            <w:tcBorders>
              <w:top w:val="single" w:sz="4" w:space="0" w:color="auto"/>
              <w:left w:val="nil"/>
              <w:bottom w:val="nil"/>
              <w:right w:val="nil"/>
            </w:tcBorders>
            <w:noWrap/>
            <w:hideMark/>
          </w:tcPr>
          <w:p>
            <w:pPr>
              <w:rPr>
                <w:sz w:val="20"/>
                <w:szCs w:val="20"/>
              </w:rPr>
            </w:pPr>
            <w:r>
              <w:rPr>
                <w:sz w:val="20"/>
                <w:szCs w:val="20"/>
              </w:rPr>
              <w:t> </w:t>
            </w:r>
          </w:p>
        </w:tc>
        <w:tc>
          <w:tcPr>
            <w:tcW w:w="1409" w:type="dxa"/>
            <w:tcBorders>
              <w:top w:val="single" w:sz="4" w:space="0" w:color="auto"/>
              <w:left w:val="nil"/>
              <w:bottom w:val="nil"/>
              <w:right w:val="nil"/>
            </w:tcBorders>
            <w:noWrap/>
            <w:hideMark/>
          </w:tcPr>
          <w:p>
            <w:pPr>
              <w:rPr>
                <w:sz w:val="20"/>
                <w:szCs w:val="20"/>
              </w:rPr>
            </w:pPr>
            <w:r>
              <w:rPr>
                <w:sz w:val="20"/>
                <w:szCs w:val="20"/>
              </w:rPr>
              <w:t> </w:t>
            </w:r>
          </w:p>
        </w:tc>
      </w:tr>
      <w:tr>
        <w:trPr>
          <w:trHeight w:val="290"/>
        </w:trPr>
        <w:tc>
          <w:tcPr>
            <w:tcW w:w="5098" w:type="dxa"/>
            <w:tcBorders>
              <w:top w:val="nil"/>
              <w:left w:val="nil"/>
              <w:bottom w:val="nil"/>
              <w:right w:val="nil"/>
            </w:tcBorders>
            <w:noWrap/>
            <w:hideMark/>
          </w:tcPr>
          <w:p>
            <w:pPr>
              <w:rPr>
                <w:rFonts w:asciiTheme="minorHAnsi" w:hAnsiTheme="minorHAnsi" w:cstheme="minorHAnsi"/>
                <w:b/>
                <w:bCs/>
                <w:sz w:val="20"/>
                <w:szCs w:val="20"/>
                <w:u w:val="single"/>
              </w:rPr>
            </w:pPr>
            <w:r>
              <w:rPr>
                <w:rFonts w:asciiTheme="minorHAnsi" w:hAnsiTheme="minorHAnsi" w:cstheme="minorHAnsi"/>
                <w:b/>
                <w:bCs/>
                <w:sz w:val="20"/>
                <w:szCs w:val="20"/>
                <w:u w:val="single"/>
              </w:rPr>
              <w:t xml:space="preserve">Notes : </w:t>
            </w:r>
          </w:p>
        </w:tc>
        <w:tc>
          <w:tcPr>
            <w:tcW w:w="1418" w:type="dxa"/>
            <w:tcBorders>
              <w:top w:val="nil"/>
              <w:left w:val="nil"/>
              <w:bottom w:val="nil"/>
              <w:right w:val="nil"/>
            </w:tcBorders>
            <w:noWrap/>
            <w:hideMark/>
          </w:tcPr>
          <w:p>
            <w:pPr>
              <w:rPr>
                <w:sz w:val="20"/>
                <w:szCs w:val="20"/>
              </w:rPr>
            </w:pPr>
            <w:r>
              <w:rPr>
                <w:sz w:val="20"/>
                <w:szCs w:val="20"/>
              </w:rPr>
              <w:t> </w:t>
            </w:r>
          </w:p>
        </w:tc>
        <w:tc>
          <w:tcPr>
            <w:tcW w:w="1135" w:type="dxa"/>
            <w:tcBorders>
              <w:top w:val="nil"/>
              <w:left w:val="nil"/>
              <w:bottom w:val="nil"/>
              <w:right w:val="nil"/>
            </w:tcBorders>
            <w:noWrap/>
            <w:hideMark/>
          </w:tcPr>
          <w:p>
            <w:pPr>
              <w:rPr>
                <w:sz w:val="20"/>
                <w:szCs w:val="20"/>
              </w:rPr>
            </w:pPr>
            <w:r>
              <w:rPr>
                <w:sz w:val="20"/>
                <w:szCs w:val="20"/>
              </w:rPr>
              <w:t> </w:t>
            </w:r>
          </w:p>
        </w:tc>
        <w:tc>
          <w:tcPr>
            <w:tcW w:w="1409" w:type="dxa"/>
            <w:tcBorders>
              <w:top w:val="nil"/>
              <w:left w:val="nil"/>
              <w:bottom w:val="nil"/>
              <w:right w:val="nil"/>
            </w:tcBorders>
            <w:noWrap/>
            <w:hideMark/>
          </w:tcPr>
          <w:p>
            <w:pPr>
              <w:rPr>
                <w:sz w:val="20"/>
                <w:szCs w:val="20"/>
              </w:rPr>
            </w:pPr>
            <w:r>
              <w:rPr>
                <w:sz w:val="20"/>
                <w:szCs w:val="20"/>
              </w:rPr>
              <w:t> </w:t>
            </w:r>
          </w:p>
        </w:tc>
      </w:tr>
      <w:tr>
        <w:trPr>
          <w:trHeight w:val="290"/>
        </w:trPr>
        <w:tc>
          <w:tcPr>
            <w:tcW w:w="5098" w:type="dxa"/>
            <w:tcBorders>
              <w:top w:val="nil"/>
              <w:left w:val="nil"/>
              <w:bottom w:val="nil"/>
              <w:right w:val="nil"/>
            </w:tcBorders>
            <w:noWrap/>
            <w:hideMark/>
          </w:tcPr>
          <w:p>
            <w:pPr>
              <w:rPr>
                <w:rFonts w:asciiTheme="minorHAnsi" w:hAnsiTheme="minorHAnsi" w:cstheme="minorHAnsi"/>
                <w:b/>
                <w:bCs/>
                <w:sz w:val="20"/>
                <w:szCs w:val="20"/>
                <w:lang w:val="en-GB"/>
              </w:rPr>
            </w:pPr>
            <w:r>
              <w:rPr>
                <w:rFonts w:asciiTheme="minorHAnsi" w:hAnsiTheme="minorHAnsi" w:cstheme="minorHAnsi"/>
                <w:b/>
                <w:bCs/>
                <w:sz w:val="20"/>
                <w:szCs w:val="20"/>
                <w:lang w:val="en-GB"/>
              </w:rPr>
              <w:t>* - Volumes re-numbered in 1995 – no gap in volume</w:t>
            </w:r>
          </w:p>
          <w:p>
            <w:pPr>
              <w:rPr>
                <w:rFonts w:asciiTheme="minorHAnsi" w:hAnsiTheme="minorHAnsi" w:cstheme="minorHAnsi"/>
                <w:sz w:val="20"/>
                <w:szCs w:val="20"/>
                <w:lang w:val="en-GB"/>
              </w:rPr>
            </w:pPr>
            <w:r>
              <w:rPr>
                <w:rFonts w:asciiTheme="minorHAnsi" w:hAnsiTheme="minorHAnsi" w:cstheme="minorHAnsi"/>
                <w:b/>
                <w:bCs/>
                <w:sz w:val="20"/>
                <w:szCs w:val="20"/>
                <w:lang w:val="en-GB"/>
              </w:rPr>
              <w:t>** - New titles</w:t>
            </w:r>
          </w:p>
        </w:tc>
        <w:tc>
          <w:tcPr>
            <w:tcW w:w="1418" w:type="dxa"/>
            <w:tcBorders>
              <w:top w:val="nil"/>
              <w:left w:val="nil"/>
              <w:bottom w:val="nil"/>
              <w:right w:val="nil"/>
            </w:tcBorders>
            <w:noWrap/>
            <w:hideMark/>
          </w:tcPr>
          <w:p>
            <w:pPr>
              <w:rPr>
                <w:sz w:val="20"/>
                <w:szCs w:val="20"/>
                <w:lang w:val="en-GB"/>
              </w:rPr>
            </w:pPr>
            <w:r>
              <w:rPr>
                <w:sz w:val="20"/>
                <w:szCs w:val="20"/>
                <w:lang w:val="en-GB"/>
              </w:rPr>
              <w:t> </w:t>
            </w:r>
          </w:p>
        </w:tc>
        <w:tc>
          <w:tcPr>
            <w:tcW w:w="1135" w:type="dxa"/>
            <w:tcBorders>
              <w:top w:val="nil"/>
              <w:left w:val="nil"/>
              <w:bottom w:val="nil"/>
              <w:right w:val="nil"/>
            </w:tcBorders>
            <w:noWrap/>
            <w:hideMark/>
          </w:tcPr>
          <w:p>
            <w:pPr>
              <w:rPr>
                <w:sz w:val="20"/>
                <w:szCs w:val="20"/>
                <w:lang w:val="en-GB"/>
              </w:rPr>
            </w:pPr>
            <w:r>
              <w:rPr>
                <w:sz w:val="20"/>
                <w:szCs w:val="20"/>
                <w:lang w:val="en-GB"/>
              </w:rPr>
              <w:t> </w:t>
            </w:r>
          </w:p>
        </w:tc>
        <w:tc>
          <w:tcPr>
            <w:tcW w:w="1409" w:type="dxa"/>
            <w:tcBorders>
              <w:top w:val="nil"/>
              <w:left w:val="nil"/>
              <w:bottom w:val="nil"/>
              <w:right w:val="nil"/>
            </w:tcBorders>
            <w:noWrap/>
            <w:hideMark/>
          </w:tcPr>
          <w:p>
            <w:pPr>
              <w:rPr>
                <w:sz w:val="20"/>
                <w:szCs w:val="20"/>
                <w:lang w:val="en-GB"/>
              </w:rPr>
            </w:pPr>
            <w:r>
              <w:rPr>
                <w:sz w:val="20"/>
                <w:szCs w:val="20"/>
                <w:lang w:val="en-GB"/>
              </w:rPr>
              <w:t> </w:t>
            </w:r>
          </w:p>
        </w:tc>
      </w:tr>
      <w:tr>
        <w:trPr>
          <w:trHeight w:val="260"/>
        </w:trPr>
        <w:tc>
          <w:tcPr>
            <w:tcW w:w="5098" w:type="dxa"/>
            <w:tcBorders>
              <w:top w:val="nil"/>
              <w:left w:val="nil"/>
              <w:bottom w:val="nil"/>
              <w:right w:val="nil"/>
            </w:tcBorders>
            <w:noWrap/>
            <w:hideMark/>
          </w:tcPr>
          <w:p>
            <w:pPr>
              <w:rPr>
                <w:sz w:val="20"/>
                <w:szCs w:val="20"/>
                <w:lang w:val="en-GB"/>
              </w:rPr>
            </w:pPr>
            <w:r>
              <w:rPr>
                <w:sz w:val="20"/>
                <w:szCs w:val="20"/>
                <w:lang w:val="en-GB"/>
              </w:rPr>
              <w:t> </w:t>
            </w:r>
          </w:p>
        </w:tc>
        <w:tc>
          <w:tcPr>
            <w:tcW w:w="1418" w:type="dxa"/>
            <w:tcBorders>
              <w:top w:val="nil"/>
              <w:left w:val="nil"/>
              <w:bottom w:val="nil"/>
              <w:right w:val="nil"/>
            </w:tcBorders>
            <w:noWrap/>
            <w:hideMark/>
          </w:tcPr>
          <w:p>
            <w:pPr>
              <w:rPr>
                <w:sz w:val="20"/>
                <w:szCs w:val="20"/>
                <w:lang w:val="en-GB"/>
              </w:rPr>
            </w:pPr>
            <w:r>
              <w:rPr>
                <w:sz w:val="20"/>
                <w:szCs w:val="20"/>
                <w:lang w:val="en-GB"/>
              </w:rPr>
              <w:t> </w:t>
            </w:r>
          </w:p>
        </w:tc>
        <w:tc>
          <w:tcPr>
            <w:tcW w:w="1135" w:type="dxa"/>
            <w:tcBorders>
              <w:top w:val="nil"/>
              <w:left w:val="nil"/>
              <w:bottom w:val="nil"/>
              <w:right w:val="nil"/>
            </w:tcBorders>
            <w:noWrap/>
            <w:hideMark/>
          </w:tcPr>
          <w:p>
            <w:pPr>
              <w:rPr>
                <w:sz w:val="20"/>
                <w:szCs w:val="20"/>
                <w:lang w:val="en-GB"/>
              </w:rPr>
            </w:pPr>
            <w:r>
              <w:rPr>
                <w:sz w:val="20"/>
                <w:szCs w:val="20"/>
                <w:lang w:val="en-GB"/>
              </w:rPr>
              <w:t> </w:t>
            </w:r>
          </w:p>
        </w:tc>
        <w:tc>
          <w:tcPr>
            <w:tcW w:w="1409" w:type="dxa"/>
            <w:tcBorders>
              <w:top w:val="nil"/>
              <w:left w:val="nil"/>
              <w:bottom w:val="nil"/>
              <w:right w:val="nil"/>
            </w:tcBorders>
            <w:noWrap/>
            <w:hideMark/>
          </w:tcPr>
          <w:p>
            <w:pPr>
              <w:rPr>
                <w:sz w:val="20"/>
                <w:szCs w:val="20"/>
                <w:lang w:val="en-GB"/>
              </w:rPr>
            </w:pPr>
            <w:r>
              <w:rPr>
                <w:sz w:val="20"/>
                <w:szCs w:val="20"/>
                <w:lang w:val="en-GB"/>
              </w:rPr>
              <w:t> </w:t>
            </w:r>
          </w:p>
        </w:tc>
      </w:tr>
    </w:tbl>
    <w:p>
      <w:pPr>
        <w:rPr>
          <w:sz w:val="20"/>
          <w:szCs w:val="20"/>
          <w:lang w:val="en-GB"/>
        </w:rPr>
      </w:pPr>
    </w:p>
    <w:p>
      <w:pPr>
        <w:rPr>
          <w:b/>
          <w:bCs/>
          <w:sz w:val="20"/>
          <w:szCs w:val="20"/>
          <w:lang w:val="en-GB"/>
        </w:rPr>
      </w:pPr>
      <w:r>
        <w:rPr>
          <w:b/>
          <w:bCs/>
          <w:sz w:val="20"/>
          <w:szCs w:val="20"/>
          <w:lang w:val="en-GB"/>
        </w:rPr>
        <w:t xml:space="preserve">SCHEDULE 4: PUBLISHING SCHEDULE </w:t>
      </w:r>
    </w:p>
    <w:p>
      <w:pPr>
        <w:rPr>
          <w:b/>
          <w:bCs/>
          <w:sz w:val="20"/>
          <w:szCs w:val="20"/>
          <w:lang w:val="en-GB"/>
        </w:rPr>
      </w:pPr>
      <w:r>
        <w:rPr>
          <w:b/>
          <w:bCs/>
          <w:sz w:val="20"/>
          <w:szCs w:val="20"/>
          <w:lang w:val="en-GB"/>
        </w:rPr>
        <w:t>ANNEXE 4: ANNEXE DE PUBLICATION</w:t>
      </w:r>
    </w:p>
    <w:p>
      <w:pPr>
        <w:rPr>
          <w:b/>
          <w:bCs/>
          <w:sz w:val="20"/>
          <w:szCs w:val="20"/>
          <w:lang w:val="en-GB"/>
        </w:rPr>
      </w:pPr>
    </w:p>
    <w:p>
      <w:pPr>
        <w:jc w:val="both"/>
        <w:rPr>
          <w:sz w:val="22"/>
          <w:szCs w:val="22"/>
          <w:lang w:val="en-GB"/>
        </w:rPr>
      </w:pPr>
      <w:bookmarkStart w:id="8" w:name="_Hlk100228353"/>
      <w:r>
        <w:rPr>
          <w:sz w:val="22"/>
          <w:szCs w:val="22"/>
          <w:lang w:val="en-GB"/>
        </w:rPr>
        <w:t>The Licensee is eligible to upgrade to Option 1, from 1 January 2023 to 31 December 2023,</w:t>
      </w:r>
      <w:bookmarkEnd w:id="8"/>
      <w:r>
        <w:rPr>
          <w:sz w:val="22"/>
          <w:szCs w:val="22"/>
          <w:lang w:val="en-GB"/>
        </w:rPr>
        <w:t xml:space="preserve"> by notifying IOP via email at customerservices@ioppublishing.org. The Licensee will provide IOP with at least sixty days’ written notice prior to the end of the preceding calendar year of their wish to upgrade from 1 January of the next year of this Licence. Such change shall take effect on the date that the notice expires and on payment of the additional Licence Fee for Option 1 and shall not be applied retrospectively.</w:t>
      </w:r>
    </w:p>
    <w:p>
      <w:pPr>
        <w:jc w:val="both"/>
        <w:rPr>
          <w:sz w:val="22"/>
          <w:szCs w:val="22"/>
          <w:lang w:val="en-GB"/>
        </w:rPr>
      </w:pPr>
    </w:p>
    <w:p>
      <w:pPr>
        <w:jc w:val="both"/>
        <w:rPr>
          <w:sz w:val="22"/>
          <w:szCs w:val="22"/>
        </w:rPr>
      </w:pPr>
      <w:r>
        <w:rPr>
          <w:sz w:val="22"/>
          <w:szCs w:val="22"/>
        </w:rPr>
        <w:lastRenderedPageBreak/>
        <w:t>« Le Titulaire de Licence est autorisé à accéder à l’option 1, du 1er janvier 2023 au 31 décembre 2023, en le notifiant à IOP par courrier électronique à l’adresse customerservices@ioppublishing.org. Le Titulaire de Licence informera IOP par écrit, au moins soixante jours avant la fin de l’année civile précédente, de son souhait de passer à l’option 1 à partir du 1er janvier de l’année suivante de cette licence. Ce changement prendra effet à la date d’expiration du préavis et sur paiement du droit de licence supplémentaire pour l’option 1 et ne sera pas appliqué rétroactivement.</w:t>
      </w:r>
    </w:p>
    <w:p>
      <w:pPr>
        <w:jc w:val="both"/>
        <w:rPr>
          <w:b/>
          <w:bCs/>
          <w:sz w:val="22"/>
          <w:szCs w:val="22"/>
        </w:rPr>
      </w:pPr>
    </w:p>
    <w:p>
      <w:pPr>
        <w:jc w:val="both"/>
        <w:rPr>
          <w:sz w:val="22"/>
          <w:szCs w:val="22"/>
          <w:lang w:val="en-GB"/>
        </w:rPr>
      </w:pPr>
      <w:r>
        <w:rPr>
          <w:b/>
          <w:bCs/>
          <w:sz w:val="22"/>
          <w:szCs w:val="22"/>
          <w:lang w:val="en-GB"/>
        </w:rPr>
        <w:t>Option 1:</w:t>
      </w:r>
      <w:r>
        <w:rPr>
          <w:sz w:val="22"/>
          <w:szCs w:val="22"/>
          <w:lang w:val="en-GB"/>
        </w:rPr>
        <w:t xml:space="preserve"> This Licence includes the option for the Licensee to opt to access the Title Lists whilst also enabling the Licensee to publish articles on a gold open access basis, as defined in Schedule 4 (the “Publishing Schedule” (“Option 1”)), in IOP and its partners’ journals listed in Schedule 5 (the “Included Journals”) at no additional cost after the payment of the applicable premium annual fee has been made. Schedule 4 shall not apply to Licensees who do not opt into Option 1.</w:t>
      </w:r>
    </w:p>
    <w:p>
      <w:pPr>
        <w:jc w:val="both"/>
        <w:rPr>
          <w:sz w:val="22"/>
          <w:szCs w:val="22"/>
          <w:lang w:val="en-GB"/>
        </w:rPr>
      </w:pPr>
    </w:p>
    <w:p>
      <w:pPr>
        <w:jc w:val="both"/>
        <w:rPr>
          <w:b/>
          <w:bCs/>
          <w:sz w:val="22"/>
          <w:szCs w:val="22"/>
        </w:rPr>
      </w:pPr>
      <w:r>
        <w:rPr>
          <w:b/>
          <w:bCs/>
          <w:sz w:val="22"/>
          <w:szCs w:val="22"/>
        </w:rPr>
        <w:t>Option 1 :</w:t>
      </w:r>
      <w:r>
        <w:rPr>
          <w:sz w:val="22"/>
          <w:szCs w:val="22"/>
        </w:rPr>
        <w:t xml:space="preserve"> La présente licence permet au Titulaire de licence d’opter pour l’accès aux listes de titres tout en lui permettant de publier des articles en accès libre intégral, tel que défini à l’Annexe 4 (« Annexe des publications » (« Option 1 »)), dans les publications d’IOP et de ses partenaires énumérées à l’Annexe 5 (les « Publications incluses") sans frais supplémentaires après paiement des droits annuels correspondants. L’Annexe 4 ne s’applique pas aux Titulaires de Licence qui n’optent pas pour l’Option </w:t>
      </w:r>
      <w:proofErr w:type="gramStart"/>
      <w:r>
        <w:rPr>
          <w:sz w:val="22"/>
          <w:szCs w:val="22"/>
        </w:rPr>
        <w:t>1</w:t>
      </w:r>
      <w:r>
        <w:rPr>
          <w:b/>
          <w:bCs/>
          <w:sz w:val="22"/>
          <w:szCs w:val="22"/>
        </w:rPr>
        <w:t>»</w:t>
      </w:r>
      <w:proofErr w:type="gramEnd"/>
      <w:r>
        <w:rPr>
          <w:b/>
          <w:bCs/>
          <w:sz w:val="22"/>
          <w:szCs w:val="22"/>
        </w:rPr>
        <w:t>.</w:t>
      </w:r>
    </w:p>
    <w:p>
      <w:pPr>
        <w:rPr>
          <w:rFonts w:cstheme="minorHAnsi"/>
          <w:b/>
          <w:sz w:val="22"/>
          <w:szCs w:val="22"/>
        </w:rPr>
      </w:pPr>
    </w:p>
    <w:p>
      <w:pPr>
        <w:keepLines/>
        <w:numPr>
          <w:ilvl w:val="0"/>
          <w:numId w:val="15"/>
        </w:numPr>
        <w:ind w:left="567" w:hanging="563"/>
        <w:outlineLvl w:val="0"/>
        <w:rPr>
          <w:rFonts w:eastAsia="Calibri" w:cstheme="minorHAnsi"/>
          <w:bCs/>
          <w:kern w:val="36"/>
          <w:sz w:val="22"/>
          <w:szCs w:val="22"/>
          <w:lang w:val="en-GB"/>
        </w:rPr>
      </w:pPr>
      <w:r>
        <w:rPr>
          <w:rFonts w:eastAsia="Calibri" w:cstheme="minorHAnsi"/>
          <w:bCs/>
          <w:kern w:val="36"/>
          <w:sz w:val="22"/>
          <w:szCs w:val="22"/>
          <w:lang w:val="en-GB"/>
        </w:rPr>
        <w:t>Subject to the remainder of this Schedule, with regard to the fees payable for periods starting on or after 1 January 2022, and during the term of this Licence, IOP will charge the amounts outlined in Schedule 2 for this Licence.</w:t>
      </w:r>
    </w:p>
    <w:p>
      <w:pPr>
        <w:keepLines/>
        <w:ind w:left="567"/>
        <w:outlineLvl w:val="0"/>
        <w:rPr>
          <w:rFonts w:eastAsia="Calibri" w:cstheme="minorHAnsi"/>
          <w:bCs/>
          <w:kern w:val="36"/>
          <w:sz w:val="22"/>
          <w:szCs w:val="22"/>
        </w:rPr>
      </w:pPr>
      <w:r>
        <w:rPr>
          <w:rFonts w:eastAsia="Calibri" w:cstheme="minorHAnsi"/>
          <w:bCs/>
          <w:kern w:val="36"/>
          <w:sz w:val="22"/>
          <w:szCs w:val="22"/>
        </w:rPr>
        <w:br/>
        <w:t>Sous réserve du reste de la présente Annexe, pour ce qui est des droits à payer pour les périodes commençant à partir du 1er janvier 2022, et pendant la durée de la présente Licence, IOP facturera les montants indiqués dans l’Annexe 2 pour cette Licence.</w:t>
      </w:r>
      <w:r>
        <w:rPr>
          <w:rFonts w:eastAsia="Calibri" w:cstheme="minorHAnsi"/>
          <w:bCs/>
          <w:kern w:val="36"/>
          <w:sz w:val="22"/>
          <w:szCs w:val="22"/>
        </w:rPr>
        <w:br/>
      </w:r>
    </w:p>
    <w:p>
      <w:pPr>
        <w:keepLines/>
        <w:numPr>
          <w:ilvl w:val="0"/>
          <w:numId w:val="15"/>
        </w:numPr>
        <w:spacing w:after="240"/>
        <w:ind w:left="567" w:hanging="563"/>
        <w:jc w:val="both"/>
        <w:outlineLvl w:val="0"/>
        <w:rPr>
          <w:rFonts w:eastAsia="Calibri" w:cstheme="minorHAnsi"/>
          <w:bCs/>
          <w:kern w:val="36"/>
          <w:sz w:val="22"/>
          <w:szCs w:val="22"/>
          <w:lang w:val="en-GB"/>
        </w:rPr>
      </w:pPr>
      <w:r>
        <w:rPr>
          <w:rFonts w:eastAsia="Calibri" w:cstheme="minorHAnsi"/>
          <w:sz w:val="22"/>
          <w:szCs w:val="22"/>
          <w:lang w:val="en-GB"/>
        </w:rPr>
        <w:t>The</w:t>
      </w:r>
      <w:r>
        <w:rPr>
          <w:rFonts w:cstheme="minorHAnsi"/>
          <w:sz w:val="22"/>
          <w:szCs w:val="22"/>
          <w:lang w:val="en-GB"/>
        </w:rPr>
        <w:t xml:space="preserve"> “Corresponding Author”</w:t>
      </w:r>
      <w:r>
        <w:rPr>
          <w:rFonts w:eastAsia="Calibri" w:cstheme="minorHAnsi"/>
          <w:sz w:val="22"/>
          <w:szCs w:val="22"/>
          <w:lang w:val="en-GB"/>
        </w:rPr>
        <w:t xml:space="preserve"> shall be </w:t>
      </w:r>
      <w:r>
        <w:rPr>
          <w:rFonts w:eastAsia="Calibri" w:cstheme="minorHAnsi"/>
          <w:bCs/>
          <w:kern w:val="36"/>
          <w:sz w:val="22"/>
          <w:szCs w:val="22"/>
          <w:lang w:val="en-GB"/>
        </w:rPr>
        <w:t xml:space="preserve">defined as </w:t>
      </w:r>
      <w:r>
        <w:rPr>
          <w:rFonts w:eastAsia="Calibri" w:cstheme="minorHAnsi"/>
          <w:sz w:val="22"/>
          <w:szCs w:val="22"/>
          <w:lang w:val="en-GB"/>
        </w:rPr>
        <w:t xml:space="preserve">the </w:t>
      </w:r>
      <w:r>
        <w:rPr>
          <w:rFonts w:cstheme="minorHAnsi"/>
          <w:sz w:val="22"/>
          <w:szCs w:val="22"/>
          <w:lang w:val="en-GB"/>
        </w:rPr>
        <w:t>author that:</w:t>
      </w:r>
      <w:r>
        <w:rPr>
          <w:rFonts w:cstheme="minorHAnsi"/>
          <w:sz w:val="22"/>
          <w:szCs w:val="22"/>
          <w:lang w:val="en-GB"/>
        </w:rPr>
        <w:tab/>
      </w:r>
      <w:r>
        <w:rPr>
          <w:rFonts w:cstheme="minorHAnsi"/>
          <w:sz w:val="22"/>
          <w:szCs w:val="22"/>
          <w:lang w:val="en-GB"/>
        </w:rPr>
        <w:br/>
      </w:r>
      <w:r>
        <w:rPr>
          <w:rFonts w:cstheme="minorHAnsi"/>
          <w:sz w:val="22"/>
          <w:szCs w:val="22"/>
          <w:lang w:val="en-GB"/>
        </w:rPr>
        <w:br/>
        <w:t xml:space="preserve">L’ “Auteur </w:t>
      </w:r>
      <w:proofErr w:type="spellStart"/>
      <w:r>
        <w:rPr>
          <w:rFonts w:cstheme="minorHAnsi"/>
          <w:sz w:val="22"/>
          <w:szCs w:val="22"/>
          <w:lang w:val="en-GB"/>
        </w:rPr>
        <w:t>correspondant</w:t>
      </w:r>
      <w:proofErr w:type="spellEnd"/>
      <w:r>
        <w:rPr>
          <w:rFonts w:cstheme="minorHAnsi"/>
          <w:sz w:val="22"/>
          <w:szCs w:val="22"/>
          <w:lang w:val="en-GB"/>
        </w:rPr>
        <w:t xml:space="preserve">” </w:t>
      </w:r>
      <w:proofErr w:type="spellStart"/>
      <w:r>
        <w:rPr>
          <w:rFonts w:cstheme="minorHAnsi"/>
          <w:sz w:val="22"/>
          <w:szCs w:val="22"/>
          <w:lang w:val="en-GB"/>
        </w:rPr>
        <w:t>désigne</w:t>
      </w:r>
      <w:proofErr w:type="spellEnd"/>
      <w:r>
        <w:rPr>
          <w:rFonts w:cstheme="minorHAnsi"/>
          <w:sz w:val="22"/>
          <w:szCs w:val="22"/>
          <w:lang w:val="en-GB"/>
        </w:rPr>
        <w:t xml:space="preserve"> </w:t>
      </w:r>
      <w:proofErr w:type="spellStart"/>
      <w:r>
        <w:rPr>
          <w:rFonts w:cstheme="minorHAnsi"/>
          <w:sz w:val="22"/>
          <w:szCs w:val="22"/>
          <w:lang w:val="en-GB"/>
        </w:rPr>
        <w:t>l’auteur</w:t>
      </w:r>
      <w:proofErr w:type="spellEnd"/>
      <w:r>
        <w:rPr>
          <w:rFonts w:cstheme="minorHAnsi"/>
          <w:sz w:val="22"/>
          <w:szCs w:val="22"/>
          <w:lang w:val="en-GB"/>
        </w:rPr>
        <w:t xml:space="preserve"> </w:t>
      </w:r>
      <w:proofErr w:type="gramStart"/>
      <w:r>
        <w:rPr>
          <w:rFonts w:cstheme="minorHAnsi"/>
          <w:sz w:val="22"/>
          <w:szCs w:val="22"/>
          <w:lang w:val="en-GB"/>
        </w:rPr>
        <w:t>qui :</w:t>
      </w:r>
      <w:proofErr w:type="gramEnd"/>
    </w:p>
    <w:p>
      <w:pPr>
        <w:keepLines/>
        <w:numPr>
          <w:ilvl w:val="0"/>
          <w:numId w:val="18"/>
        </w:numPr>
        <w:spacing w:after="240"/>
        <w:ind w:left="993" w:hanging="273"/>
        <w:jc w:val="both"/>
        <w:outlineLvl w:val="0"/>
        <w:rPr>
          <w:rFonts w:eastAsia="Calibri" w:cstheme="minorHAnsi"/>
          <w:bCs/>
          <w:kern w:val="36"/>
          <w:sz w:val="22"/>
          <w:szCs w:val="22"/>
        </w:rPr>
      </w:pPr>
      <w:proofErr w:type="spellStart"/>
      <w:proofErr w:type="gramStart"/>
      <w:r>
        <w:rPr>
          <w:rFonts w:cstheme="minorHAnsi"/>
          <w:sz w:val="22"/>
          <w:szCs w:val="22"/>
        </w:rPr>
        <w:t>submits</w:t>
      </w:r>
      <w:proofErr w:type="spellEnd"/>
      <w:proofErr w:type="gramEnd"/>
      <w:r>
        <w:rPr>
          <w:rFonts w:cstheme="minorHAnsi"/>
          <w:sz w:val="22"/>
          <w:szCs w:val="22"/>
        </w:rPr>
        <w:t xml:space="preserve"> a </w:t>
      </w:r>
      <w:proofErr w:type="spellStart"/>
      <w:r>
        <w:rPr>
          <w:rFonts w:cstheme="minorHAnsi"/>
          <w:sz w:val="22"/>
          <w:szCs w:val="22"/>
        </w:rPr>
        <w:t>manuscript</w:t>
      </w:r>
      <w:proofErr w:type="spellEnd"/>
      <w:r>
        <w:rPr>
          <w:rFonts w:cstheme="minorHAnsi"/>
          <w:sz w:val="22"/>
          <w:szCs w:val="22"/>
        </w:rPr>
        <w:t xml:space="preserve"> to an IOP journal or </w:t>
      </w:r>
      <w:proofErr w:type="spellStart"/>
      <w:r>
        <w:rPr>
          <w:rFonts w:cstheme="minorHAnsi"/>
          <w:sz w:val="22"/>
          <w:szCs w:val="22"/>
        </w:rPr>
        <w:t>that</w:t>
      </w:r>
      <w:proofErr w:type="spellEnd"/>
      <w:r>
        <w:rPr>
          <w:rFonts w:cstheme="minorHAnsi"/>
          <w:sz w:val="22"/>
          <w:szCs w:val="22"/>
        </w:rPr>
        <w:t xml:space="preserve"> of one </w:t>
      </w:r>
      <w:proofErr w:type="spellStart"/>
      <w:r>
        <w:rPr>
          <w:rFonts w:cstheme="minorHAnsi"/>
          <w:sz w:val="22"/>
          <w:szCs w:val="22"/>
        </w:rPr>
        <w:t>it</w:t>
      </w:r>
      <w:proofErr w:type="spellEnd"/>
      <w:r>
        <w:rPr>
          <w:rFonts w:cstheme="minorHAnsi"/>
          <w:sz w:val="22"/>
          <w:szCs w:val="22"/>
        </w:rPr>
        <w:t xml:space="preserve"> </w:t>
      </w:r>
      <w:proofErr w:type="spellStart"/>
      <w:r>
        <w:rPr>
          <w:rFonts w:cstheme="minorHAnsi"/>
          <w:sz w:val="22"/>
          <w:szCs w:val="22"/>
        </w:rPr>
        <w:t>its</w:t>
      </w:r>
      <w:proofErr w:type="spellEnd"/>
      <w:r>
        <w:rPr>
          <w:rFonts w:cstheme="minorHAnsi"/>
          <w:sz w:val="22"/>
          <w:szCs w:val="22"/>
        </w:rPr>
        <w:t xml:space="preserve"> </w:t>
      </w:r>
      <w:proofErr w:type="spellStart"/>
      <w:r>
        <w:rPr>
          <w:rFonts w:cstheme="minorHAnsi"/>
          <w:sz w:val="22"/>
          <w:szCs w:val="22"/>
        </w:rPr>
        <w:t>partners</w:t>
      </w:r>
      <w:proofErr w:type="spellEnd"/>
      <w:r>
        <w:rPr>
          <w:rFonts w:cstheme="minorHAnsi"/>
          <w:sz w:val="22"/>
          <w:szCs w:val="22"/>
        </w:rPr>
        <w:t>; and</w:t>
      </w:r>
      <w:r>
        <w:rPr>
          <w:rFonts w:cstheme="minorHAnsi"/>
          <w:sz w:val="22"/>
          <w:szCs w:val="22"/>
        </w:rPr>
        <w:tab/>
      </w:r>
      <w:r>
        <w:rPr>
          <w:rFonts w:cstheme="minorHAnsi"/>
          <w:sz w:val="22"/>
          <w:szCs w:val="22"/>
        </w:rPr>
        <w:br/>
      </w:r>
      <w:r>
        <w:rPr>
          <w:rFonts w:cstheme="minorHAnsi"/>
          <w:sz w:val="22"/>
          <w:szCs w:val="22"/>
        </w:rPr>
        <w:br/>
        <w:t>propose un manuscrit à une revue d’IOP ou à celle de l’un de ses partenaires ; et</w:t>
      </w:r>
    </w:p>
    <w:p>
      <w:pPr>
        <w:keepLines/>
        <w:numPr>
          <w:ilvl w:val="0"/>
          <w:numId w:val="18"/>
        </w:numPr>
        <w:spacing w:after="240"/>
        <w:ind w:left="993" w:hanging="273"/>
        <w:jc w:val="both"/>
        <w:outlineLvl w:val="0"/>
        <w:rPr>
          <w:rFonts w:cstheme="minorHAnsi"/>
          <w:sz w:val="22"/>
          <w:szCs w:val="22"/>
        </w:rPr>
      </w:pPr>
      <w:r>
        <w:rPr>
          <w:rFonts w:cstheme="minorHAnsi"/>
          <w:sz w:val="22"/>
          <w:szCs w:val="22"/>
          <w:lang w:val="en-GB"/>
        </w:rPr>
        <w:t>is the author responsible</w:t>
      </w:r>
      <w:r>
        <w:rPr>
          <w:rFonts w:eastAsia="Calibri" w:cstheme="minorHAnsi"/>
          <w:sz w:val="22"/>
          <w:szCs w:val="22"/>
          <w:lang w:val="en-GB"/>
        </w:rPr>
        <w:t xml:space="preserve"> for </w:t>
      </w:r>
      <w:r>
        <w:rPr>
          <w:rFonts w:cstheme="minorHAnsi"/>
          <w:sz w:val="22"/>
          <w:szCs w:val="22"/>
          <w:lang w:val="en-GB"/>
        </w:rPr>
        <w:t xml:space="preserve">communicating with the journal during the submission, peer review and publication </w:t>
      </w:r>
      <w:proofErr w:type="gramStart"/>
      <w:r>
        <w:rPr>
          <w:rFonts w:cstheme="minorHAnsi"/>
          <w:sz w:val="22"/>
          <w:szCs w:val="22"/>
          <w:lang w:val="en-GB"/>
        </w:rPr>
        <w:t>process.</w:t>
      </w:r>
      <w:proofErr w:type="gramEnd"/>
      <w:r>
        <w:rPr>
          <w:rFonts w:cstheme="minorHAnsi"/>
          <w:sz w:val="22"/>
          <w:szCs w:val="22"/>
          <w:lang w:val="en-GB"/>
        </w:rPr>
        <w:tab/>
      </w:r>
      <w:r>
        <w:rPr>
          <w:rFonts w:cstheme="minorHAnsi"/>
          <w:sz w:val="22"/>
          <w:szCs w:val="22"/>
          <w:lang w:val="en-GB"/>
        </w:rPr>
        <w:br/>
      </w:r>
      <w:r>
        <w:rPr>
          <w:rFonts w:cstheme="minorHAnsi"/>
          <w:sz w:val="22"/>
          <w:szCs w:val="22"/>
          <w:lang w:val="en-GB"/>
        </w:rPr>
        <w:br/>
      </w:r>
      <w:proofErr w:type="gramStart"/>
      <w:r>
        <w:rPr>
          <w:rFonts w:cstheme="minorHAnsi"/>
          <w:sz w:val="22"/>
          <w:szCs w:val="22"/>
        </w:rPr>
        <w:t>est</w:t>
      </w:r>
      <w:proofErr w:type="gramEnd"/>
      <w:r>
        <w:rPr>
          <w:rFonts w:cstheme="minorHAnsi"/>
          <w:sz w:val="22"/>
          <w:szCs w:val="22"/>
        </w:rPr>
        <w:t xml:space="preserve"> l’auteur responsable de la communication avec la revue pendant le processus de proposition, d’examen par les pairs et de publication .</w:t>
      </w:r>
      <w:r>
        <w:rPr>
          <w:rFonts w:cstheme="minorHAnsi"/>
          <w:sz w:val="22"/>
          <w:szCs w:val="22"/>
        </w:rPr>
        <w:tab/>
      </w:r>
    </w:p>
    <w:p>
      <w:pPr>
        <w:keepLines/>
        <w:spacing w:after="240"/>
        <w:ind w:left="567" w:hanging="567"/>
        <w:jc w:val="both"/>
        <w:outlineLvl w:val="0"/>
        <w:rPr>
          <w:rFonts w:eastAsia="Calibri" w:cstheme="minorHAnsi"/>
          <w:bCs/>
          <w:kern w:val="36"/>
          <w:sz w:val="22"/>
          <w:szCs w:val="22"/>
          <w:lang w:val="en-GB"/>
        </w:rPr>
      </w:pPr>
      <w:r>
        <w:rPr>
          <w:rFonts w:eastAsia="Calibri" w:cstheme="minorHAnsi"/>
          <w:bCs/>
          <w:kern w:val="36"/>
          <w:sz w:val="22"/>
          <w:szCs w:val="22"/>
          <w:lang w:val="en-GB"/>
        </w:rPr>
        <w:t xml:space="preserve">3 </w:t>
      </w:r>
      <w:r>
        <w:rPr>
          <w:rFonts w:eastAsia="Calibri" w:cstheme="minorHAnsi"/>
          <w:bCs/>
          <w:kern w:val="36"/>
          <w:sz w:val="22"/>
          <w:szCs w:val="22"/>
          <w:lang w:val="en-GB"/>
        </w:rPr>
        <w:tab/>
        <w:t>For the purposes of this Licence, a manuscript may not have more than one Corresponding Author for Eligible Articles (as defined below) under this Schedule. This includes post-publication contact authors, which may differ from the Corresponding Author.</w:t>
      </w:r>
    </w:p>
    <w:p>
      <w:pPr>
        <w:keepLines/>
        <w:spacing w:after="240"/>
        <w:ind w:left="567" w:hanging="567"/>
        <w:jc w:val="both"/>
        <w:outlineLvl w:val="0"/>
        <w:rPr>
          <w:rFonts w:eastAsia="Calibri" w:cstheme="minorHAnsi"/>
          <w:bCs/>
          <w:kern w:val="36"/>
          <w:sz w:val="22"/>
          <w:szCs w:val="22"/>
        </w:rPr>
      </w:pPr>
      <w:r>
        <w:rPr>
          <w:rFonts w:eastAsia="Calibri" w:cstheme="minorHAnsi"/>
          <w:bCs/>
          <w:kern w:val="36"/>
          <w:sz w:val="22"/>
          <w:szCs w:val="22"/>
          <w:lang w:val="en-GB"/>
        </w:rPr>
        <w:tab/>
      </w:r>
      <w:r>
        <w:rPr>
          <w:rFonts w:eastAsia="Calibri" w:cstheme="minorHAnsi"/>
          <w:bCs/>
          <w:kern w:val="36"/>
          <w:sz w:val="22"/>
          <w:szCs w:val="22"/>
        </w:rPr>
        <w:t>Dans le cadre de la présente Licence, un manuscrit ne peut avoir plus d’un auteur correspondant pour les articles éligibles (tels que définis ci-dessous) dans le cadre de cette Annexe. Cela inclut les auteurs de contact après publication, qui peuvent être différents de l’Auteur correspondant.</w:t>
      </w:r>
    </w:p>
    <w:p>
      <w:pPr>
        <w:keepLines/>
        <w:spacing w:after="240"/>
        <w:ind w:left="567" w:hanging="567"/>
        <w:jc w:val="both"/>
        <w:outlineLvl w:val="0"/>
        <w:rPr>
          <w:rFonts w:eastAsia="Calibri" w:cstheme="minorHAnsi"/>
          <w:bCs/>
          <w:kern w:val="36"/>
          <w:sz w:val="22"/>
          <w:szCs w:val="22"/>
        </w:rPr>
      </w:pPr>
      <w:r>
        <w:rPr>
          <w:rFonts w:eastAsia="Calibri" w:cstheme="minorHAnsi"/>
          <w:bCs/>
          <w:kern w:val="36"/>
          <w:sz w:val="22"/>
          <w:szCs w:val="22"/>
          <w:lang w:val="en-GB"/>
        </w:rPr>
        <w:t xml:space="preserve">4 </w:t>
      </w:r>
      <w:r>
        <w:rPr>
          <w:rFonts w:eastAsia="Calibri" w:cstheme="minorHAnsi"/>
          <w:bCs/>
          <w:kern w:val="36"/>
          <w:sz w:val="22"/>
          <w:szCs w:val="22"/>
          <w:lang w:val="en-GB"/>
        </w:rPr>
        <w:tab/>
        <w:t>The Corresponding Author may not be changed retrospectively without approval in writing by IOP.</w:t>
      </w:r>
      <w:r>
        <w:rPr>
          <w:rFonts w:eastAsia="Calibri" w:cstheme="minorHAnsi"/>
          <w:bCs/>
          <w:kern w:val="36"/>
          <w:sz w:val="22"/>
          <w:szCs w:val="22"/>
          <w:lang w:val="en-GB"/>
        </w:rPr>
        <w:br/>
      </w:r>
      <w:r>
        <w:rPr>
          <w:rFonts w:eastAsia="Calibri" w:cstheme="minorHAnsi"/>
          <w:bCs/>
          <w:kern w:val="36"/>
          <w:sz w:val="22"/>
          <w:szCs w:val="22"/>
          <w:lang w:val="en-GB"/>
        </w:rPr>
        <w:br/>
      </w:r>
      <w:r>
        <w:rPr>
          <w:rFonts w:eastAsia="Calibri" w:cstheme="minorHAnsi"/>
          <w:bCs/>
          <w:kern w:val="36"/>
          <w:sz w:val="22"/>
          <w:szCs w:val="22"/>
        </w:rPr>
        <w:t>L’Auteur correspondant ne peut être changé rétrospectivement sans l’approbation écrite d’IOP.</w:t>
      </w:r>
      <w:r>
        <w:rPr>
          <w:rFonts w:eastAsia="Calibri" w:cstheme="minorHAnsi"/>
          <w:bCs/>
          <w:kern w:val="36"/>
          <w:sz w:val="22"/>
          <w:szCs w:val="22"/>
          <w:highlight w:val="yellow"/>
        </w:rPr>
        <w:t xml:space="preserve"> </w:t>
      </w:r>
    </w:p>
    <w:p>
      <w:pPr>
        <w:keepLines/>
        <w:numPr>
          <w:ilvl w:val="0"/>
          <w:numId w:val="19"/>
        </w:numPr>
        <w:spacing w:after="240"/>
        <w:ind w:left="567" w:hanging="567"/>
        <w:jc w:val="both"/>
        <w:outlineLvl w:val="0"/>
        <w:rPr>
          <w:rFonts w:eastAsia="Calibri" w:cstheme="minorHAnsi"/>
          <w:bCs/>
          <w:kern w:val="36"/>
          <w:sz w:val="22"/>
          <w:szCs w:val="22"/>
        </w:rPr>
      </w:pPr>
      <w:r>
        <w:rPr>
          <w:rFonts w:eastAsia="Calibri" w:cstheme="minorHAnsi"/>
          <w:bCs/>
          <w:kern w:val="36"/>
          <w:sz w:val="22"/>
          <w:szCs w:val="22"/>
        </w:rPr>
        <w:lastRenderedPageBreak/>
        <w:t xml:space="preserve">An “Eligible Article” </w:t>
      </w:r>
      <w:proofErr w:type="spellStart"/>
      <w:r>
        <w:rPr>
          <w:rFonts w:eastAsia="Calibri" w:cstheme="minorHAnsi"/>
          <w:bCs/>
          <w:kern w:val="36"/>
          <w:sz w:val="22"/>
          <w:szCs w:val="22"/>
        </w:rPr>
        <w:t>is</w:t>
      </w:r>
      <w:proofErr w:type="spellEnd"/>
      <w:r>
        <w:rPr>
          <w:rFonts w:eastAsia="Calibri" w:cstheme="minorHAnsi"/>
          <w:bCs/>
          <w:kern w:val="36"/>
          <w:sz w:val="22"/>
          <w:szCs w:val="22"/>
        </w:rPr>
        <w:t xml:space="preserve"> an article </w:t>
      </w:r>
      <w:proofErr w:type="spellStart"/>
      <w:proofErr w:type="gramStart"/>
      <w:r>
        <w:rPr>
          <w:rFonts w:eastAsia="Calibri" w:cstheme="minorHAnsi"/>
          <w:bCs/>
          <w:kern w:val="36"/>
          <w:sz w:val="22"/>
          <w:szCs w:val="22"/>
        </w:rPr>
        <w:t>which</w:t>
      </w:r>
      <w:proofErr w:type="spellEnd"/>
      <w:r>
        <w:rPr>
          <w:rFonts w:eastAsia="Calibri" w:cstheme="minorHAnsi"/>
          <w:bCs/>
          <w:kern w:val="36"/>
          <w:sz w:val="22"/>
          <w:szCs w:val="22"/>
        </w:rPr>
        <w:t>:</w:t>
      </w:r>
      <w:proofErr w:type="gramEnd"/>
      <w:r>
        <w:rPr>
          <w:rFonts w:eastAsia="Calibri" w:cstheme="minorHAnsi"/>
          <w:bCs/>
          <w:kern w:val="36"/>
          <w:sz w:val="22"/>
          <w:szCs w:val="22"/>
        </w:rPr>
        <w:tab/>
      </w:r>
      <w:r>
        <w:rPr>
          <w:rFonts w:eastAsia="Calibri" w:cstheme="minorHAnsi"/>
          <w:bCs/>
          <w:kern w:val="36"/>
          <w:sz w:val="22"/>
          <w:szCs w:val="22"/>
        </w:rPr>
        <w:br/>
      </w:r>
      <w:r>
        <w:rPr>
          <w:rFonts w:eastAsia="Calibri" w:cstheme="minorHAnsi"/>
          <w:bCs/>
          <w:kern w:val="36"/>
          <w:sz w:val="22"/>
          <w:szCs w:val="22"/>
        </w:rPr>
        <w:br/>
        <w:t>Un « Article éligible » est un article qui :</w:t>
      </w:r>
    </w:p>
    <w:p>
      <w:pPr>
        <w:keepLines/>
        <w:numPr>
          <w:ilvl w:val="0"/>
          <w:numId w:val="16"/>
        </w:numPr>
        <w:spacing w:after="240"/>
        <w:ind w:left="993" w:hanging="273"/>
        <w:jc w:val="both"/>
        <w:outlineLvl w:val="0"/>
        <w:rPr>
          <w:rFonts w:eastAsia="Calibri" w:cstheme="minorHAnsi"/>
          <w:bCs/>
          <w:kern w:val="36"/>
          <w:sz w:val="22"/>
          <w:szCs w:val="22"/>
        </w:rPr>
      </w:pPr>
      <w:proofErr w:type="gramStart"/>
      <w:r>
        <w:rPr>
          <w:rFonts w:eastAsia="Calibri" w:cstheme="minorHAnsi"/>
          <w:bCs/>
          <w:kern w:val="36"/>
          <w:sz w:val="22"/>
          <w:szCs w:val="22"/>
        </w:rPr>
        <w:t>has</w:t>
      </w:r>
      <w:proofErr w:type="gramEnd"/>
      <w:r>
        <w:rPr>
          <w:rFonts w:eastAsia="Calibri" w:cstheme="minorHAnsi"/>
          <w:bCs/>
          <w:kern w:val="36"/>
          <w:sz w:val="22"/>
          <w:szCs w:val="22"/>
        </w:rPr>
        <w:t xml:space="preserve"> a </w:t>
      </w:r>
      <w:proofErr w:type="spellStart"/>
      <w:r>
        <w:rPr>
          <w:rFonts w:eastAsia="Calibri" w:cstheme="minorHAnsi"/>
          <w:bCs/>
          <w:kern w:val="36"/>
          <w:sz w:val="22"/>
          <w:szCs w:val="22"/>
        </w:rPr>
        <w:t>Corresponding</w:t>
      </w:r>
      <w:proofErr w:type="spellEnd"/>
      <w:r>
        <w:rPr>
          <w:rFonts w:eastAsia="Calibri" w:cstheme="minorHAnsi"/>
          <w:bCs/>
          <w:kern w:val="36"/>
          <w:sz w:val="22"/>
          <w:szCs w:val="22"/>
        </w:rPr>
        <w:t xml:space="preserve"> </w:t>
      </w:r>
      <w:proofErr w:type="spellStart"/>
      <w:r>
        <w:rPr>
          <w:rFonts w:eastAsia="Calibri" w:cstheme="minorHAnsi"/>
          <w:bCs/>
          <w:kern w:val="36"/>
          <w:sz w:val="22"/>
          <w:szCs w:val="22"/>
        </w:rPr>
        <w:t>Author</w:t>
      </w:r>
      <w:proofErr w:type="spellEnd"/>
      <w:r>
        <w:rPr>
          <w:rFonts w:eastAsia="Calibri" w:cstheme="minorHAnsi"/>
          <w:bCs/>
          <w:kern w:val="36"/>
          <w:sz w:val="22"/>
          <w:szCs w:val="22"/>
        </w:rPr>
        <w:t xml:space="preserve"> </w:t>
      </w:r>
      <w:proofErr w:type="spellStart"/>
      <w:r>
        <w:rPr>
          <w:rFonts w:eastAsia="Calibri" w:cstheme="minorHAnsi"/>
          <w:bCs/>
          <w:kern w:val="36"/>
          <w:sz w:val="22"/>
          <w:szCs w:val="22"/>
        </w:rPr>
        <w:t>that</w:t>
      </w:r>
      <w:proofErr w:type="spellEnd"/>
      <w:r>
        <w:rPr>
          <w:rFonts w:eastAsia="Calibri" w:cstheme="minorHAnsi"/>
          <w:bCs/>
          <w:kern w:val="36"/>
          <w:sz w:val="22"/>
          <w:szCs w:val="22"/>
        </w:rPr>
        <w:t xml:space="preserve"> </w:t>
      </w:r>
      <w:proofErr w:type="spellStart"/>
      <w:r>
        <w:rPr>
          <w:rFonts w:eastAsia="Calibri" w:cstheme="minorHAnsi"/>
          <w:bCs/>
          <w:kern w:val="36"/>
          <w:sz w:val="22"/>
          <w:szCs w:val="22"/>
        </w:rPr>
        <w:t>is</w:t>
      </w:r>
      <w:proofErr w:type="spellEnd"/>
      <w:r>
        <w:rPr>
          <w:rFonts w:eastAsia="Calibri" w:cstheme="minorHAnsi"/>
          <w:bCs/>
          <w:kern w:val="36"/>
          <w:sz w:val="22"/>
          <w:szCs w:val="22"/>
        </w:rPr>
        <w:t xml:space="preserve"> a </w:t>
      </w:r>
      <w:proofErr w:type="spellStart"/>
      <w:r>
        <w:rPr>
          <w:rFonts w:eastAsia="Calibri" w:cstheme="minorHAnsi"/>
          <w:bCs/>
          <w:kern w:val="36"/>
          <w:sz w:val="22"/>
          <w:szCs w:val="22"/>
        </w:rPr>
        <w:t>current</w:t>
      </w:r>
      <w:proofErr w:type="spellEnd"/>
      <w:r>
        <w:rPr>
          <w:rFonts w:eastAsia="Calibri" w:cstheme="minorHAnsi"/>
          <w:bCs/>
          <w:kern w:val="36"/>
          <w:sz w:val="22"/>
          <w:szCs w:val="22"/>
        </w:rPr>
        <w:t xml:space="preserve"> staff </w:t>
      </w:r>
      <w:proofErr w:type="spellStart"/>
      <w:r>
        <w:rPr>
          <w:rFonts w:eastAsia="Calibri" w:cstheme="minorHAnsi"/>
          <w:bCs/>
          <w:kern w:val="36"/>
          <w:sz w:val="22"/>
          <w:szCs w:val="22"/>
        </w:rPr>
        <w:t>member</w:t>
      </w:r>
      <w:proofErr w:type="spellEnd"/>
      <w:r>
        <w:rPr>
          <w:rFonts w:eastAsia="Calibri" w:cstheme="minorHAnsi"/>
          <w:bCs/>
          <w:kern w:val="36"/>
          <w:sz w:val="22"/>
          <w:szCs w:val="22"/>
        </w:rPr>
        <w:t xml:space="preserve">, </w:t>
      </w:r>
      <w:proofErr w:type="spellStart"/>
      <w:r>
        <w:rPr>
          <w:rFonts w:eastAsia="Calibri" w:cstheme="minorHAnsi"/>
          <w:bCs/>
          <w:kern w:val="36"/>
          <w:sz w:val="22"/>
          <w:szCs w:val="22"/>
        </w:rPr>
        <w:t>researcher</w:t>
      </w:r>
      <w:proofErr w:type="spellEnd"/>
      <w:r>
        <w:rPr>
          <w:rFonts w:eastAsia="Calibri" w:cstheme="minorHAnsi"/>
          <w:bCs/>
          <w:kern w:val="36"/>
          <w:sz w:val="22"/>
          <w:szCs w:val="22"/>
        </w:rPr>
        <w:t xml:space="preserve"> (permanent, </w:t>
      </w:r>
      <w:proofErr w:type="spellStart"/>
      <w:r>
        <w:rPr>
          <w:rFonts w:eastAsia="Calibri" w:cstheme="minorHAnsi"/>
          <w:bCs/>
          <w:kern w:val="36"/>
          <w:sz w:val="22"/>
          <w:szCs w:val="22"/>
        </w:rPr>
        <w:t>temporary</w:t>
      </w:r>
      <w:proofErr w:type="spellEnd"/>
      <w:r>
        <w:rPr>
          <w:rFonts w:eastAsia="Calibri" w:cstheme="minorHAnsi"/>
          <w:bCs/>
          <w:kern w:val="36"/>
          <w:sz w:val="22"/>
          <w:szCs w:val="22"/>
        </w:rPr>
        <w:t xml:space="preserve"> and </w:t>
      </w:r>
      <w:proofErr w:type="spellStart"/>
      <w:r>
        <w:rPr>
          <w:rFonts w:eastAsia="Calibri" w:cstheme="minorHAnsi"/>
          <w:bCs/>
          <w:kern w:val="36"/>
          <w:sz w:val="22"/>
          <w:szCs w:val="22"/>
        </w:rPr>
        <w:t>visiting</w:t>
      </w:r>
      <w:proofErr w:type="spellEnd"/>
      <w:r>
        <w:rPr>
          <w:rFonts w:eastAsia="Calibri" w:cstheme="minorHAnsi"/>
          <w:bCs/>
          <w:kern w:val="36"/>
          <w:sz w:val="22"/>
          <w:szCs w:val="22"/>
        </w:rPr>
        <w:t xml:space="preserve">), or </w:t>
      </w:r>
      <w:proofErr w:type="spellStart"/>
      <w:r>
        <w:rPr>
          <w:rFonts w:eastAsia="Calibri" w:cstheme="minorHAnsi"/>
          <w:bCs/>
          <w:kern w:val="36"/>
          <w:sz w:val="22"/>
          <w:szCs w:val="22"/>
        </w:rPr>
        <w:t>student</w:t>
      </w:r>
      <w:proofErr w:type="spellEnd"/>
      <w:r>
        <w:rPr>
          <w:rFonts w:eastAsia="Calibri" w:cstheme="minorHAnsi"/>
          <w:bCs/>
          <w:kern w:val="36"/>
          <w:sz w:val="22"/>
          <w:szCs w:val="22"/>
        </w:rPr>
        <w:t xml:space="preserve"> of a </w:t>
      </w:r>
      <w:proofErr w:type="spellStart"/>
      <w:r>
        <w:rPr>
          <w:rFonts w:eastAsia="Calibri" w:cstheme="minorHAnsi"/>
          <w:bCs/>
          <w:kern w:val="36"/>
          <w:sz w:val="22"/>
          <w:szCs w:val="22"/>
        </w:rPr>
        <w:t>Licensee</w:t>
      </w:r>
      <w:proofErr w:type="spellEnd"/>
      <w:r>
        <w:rPr>
          <w:rFonts w:eastAsia="Calibri" w:cstheme="minorHAnsi"/>
          <w:bCs/>
          <w:kern w:val="36"/>
          <w:sz w:val="22"/>
          <w:szCs w:val="22"/>
        </w:rPr>
        <w:t xml:space="preserve"> at the time of article acceptance;</w:t>
      </w:r>
      <w:r>
        <w:rPr>
          <w:rFonts w:eastAsia="Calibri" w:cstheme="minorHAnsi"/>
          <w:bCs/>
          <w:kern w:val="36"/>
          <w:sz w:val="22"/>
          <w:szCs w:val="22"/>
        </w:rPr>
        <w:tab/>
      </w:r>
      <w:r>
        <w:rPr>
          <w:rFonts w:eastAsia="Calibri" w:cstheme="minorHAnsi"/>
          <w:bCs/>
          <w:kern w:val="36"/>
          <w:sz w:val="22"/>
          <w:szCs w:val="22"/>
        </w:rPr>
        <w:br/>
      </w:r>
      <w:r>
        <w:rPr>
          <w:rFonts w:eastAsia="Calibri" w:cstheme="minorHAnsi"/>
          <w:bCs/>
          <w:kern w:val="36"/>
          <w:sz w:val="22"/>
          <w:szCs w:val="22"/>
        </w:rPr>
        <w:br/>
        <w:t>dont l’auteur correspondant est membre du personnel, chercheur (permanent, temporaire ou invité) ou  étudiant d’un Titulaire de Licence au moment de l’acceptation de l’article ;</w:t>
      </w:r>
      <w:r>
        <w:rPr>
          <w:rFonts w:eastAsia="Calibri" w:cstheme="minorHAnsi"/>
          <w:bCs/>
          <w:kern w:val="36"/>
          <w:sz w:val="22"/>
          <w:szCs w:val="22"/>
          <w:highlight w:val="yellow"/>
        </w:rPr>
        <w:t xml:space="preserve"> </w:t>
      </w:r>
    </w:p>
    <w:p>
      <w:pPr>
        <w:keepLines/>
        <w:numPr>
          <w:ilvl w:val="0"/>
          <w:numId w:val="16"/>
        </w:numPr>
        <w:spacing w:after="240"/>
        <w:ind w:left="993" w:hanging="273"/>
        <w:jc w:val="both"/>
        <w:outlineLvl w:val="0"/>
        <w:rPr>
          <w:rFonts w:eastAsia="Calibri" w:cstheme="minorHAnsi"/>
          <w:bCs/>
          <w:kern w:val="36"/>
          <w:sz w:val="22"/>
          <w:szCs w:val="22"/>
        </w:rPr>
      </w:pPr>
      <w:proofErr w:type="spellStart"/>
      <w:proofErr w:type="gramStart"/>
      <w:r>
        <w:rPr>
          <w:rFonts w:eastAsia="Calibri" w:cstheme="minorHAnsi"/>
          <w:bCs/>
          <w:kern w:val="36"/>
          <w:sz w:val="22"/>
          <w:szCs w:val="22"/>
        </w:rPr>
        <w:t>is</w:t>
      </w:r>
      <w:proofErr w:type="spellEnd"/>
      <w:proofErr w:type="gramEnd"/>
      <w:r>
        <w:rPr>
          <w:rFonts w:eastAsia="Calibri" w:cstheme="minorHAnsi"/>
          <w:bCs/>
          <w:kern w:val="36"/>
          <w:sz w:val="22"/>
          <w:szCs w:val="22"/>
        </w:rPr>
        <w:t xml:space="preserve"> </w:t>
      </w:r>
      <w:proofErr w:type="spellStart"/>
      <w:r>
        <w:rPr>
          <w:rFonts w:eastAsia="Calibri" w:cstheme="minorHAnsi"/>
          <w:bCs/>
          <w:kern w:val="36"/>
          <w:sz w:val="22"/>
          <w:szCs w:val="22"/>
        </w:rPr>
        <w:t>published</w:t>
      </w:r>
      <w:proofErr w:type="spellEnd"/>
      <w:r>
        <w:rPr>
          <w:rFonts w:eastAsia="Calibri" w:cstheme="minorHAnsi"/>
          <w:bCs/>
          <w:kern w:val="36"/>
          <w:sz w:val="22"/>
          <w:szCs w:val="22"/>
        </w:rPr>
        <w:t xml:space="preserve"> </w:t>
      </w:r>
      <w:proofErr w:type="spellStart"/>
      <w:r>
        <w:rPr>
          <w:rFonts w:eastAsia="Calibri" w:cstheme="minorHAnsi"/>
          <w:bCs/>
          <w:kern w:val="36"/>
          <w:sz w:val="22"/>
          <w:szCs w:val="22"/>
        </w:rPr>
        <w:t>within</w:t>
      </w:r>
      <w:proofErr w:type="spellEnd"/>
      <w:r>
        <w:rPr>
          <w:rFonts w:eastAsia="Calibri" w:cstheme="minorHAnsi"/>
          <w:bCs/>
          <w:kern w:val="36"/>
          <w:sz w:val="22"/>
          <w:szCs w:val="22"/>
        </w:rPr>
        <w:t xml:space="preserve"> an </w:t>
      </w:r>
      <w:proofErr w:type="spellStart"/>
      <w:r>
        <w:rPr>
          <w:rFonts w:eastAsia="Calibri" w:cstheme="minorHAnsi"/>
          <w:bCs/>
          <w:kern w:val="36"/>
          <w:sz w:val="22"/>
          <w:szCs w:val="22"/>
        </w:rPr>
        <w:t>Included</w:t>
      </w:r>
      <w:proofErr w:type="spellEnd"/>
      <w:r>
        <w:rPr>
          <w:rFonts w:eastAsia="Calibri" w:cstheme="minorHAnsi"/>
          <w:bCs/>
          <w:kern w:val="36"/>
          <w:sz w:val="22"/>
          <w:szCs w:val="22"/>
        </w:rPr>
        <w:t xml:space="preserve"> Journal (</w:t>
      </w:r>
      <w:proofErr w:type="spellStart"/>
      <w:r>
        <w:rPr>
          <w:rFonts w:eastAsia="Calibri" w:cstheme="minorHAnsi"/>
          <w:bCs/>
          <w:kern w:val="36"/>
          <w:sz w:val="22"/>
          <w:szCs w:val="22"/>
        </w:rPr>
        <w:t>listed</w:t>
      </w:r>
      <w:proofErr w:type="spellEnd"/>
      <w:r>
        <w:rPr>
          <w:rFonts w:eastAsia="Calibri" w:cstheme="minorHAnsi"/>
          <w:bCs/>
          <w:kern w:val="36"/>
          <w:sz w:val="22"/>
          <w:szCs w:val="22"/>
        </w:rPr>
        <w:t xml:space="preserve"> in Schedule 5);</w:t>
      </w:r>
      <w:r>
        <w:rPr>
          <w:rFonts w:eastAsia="Calibri" w:cstheme="minorHAnsi"/>
          <w:bCs/>
          <w:kern w:val="36"/>
          <w:sz w:val="22"/>
          <w:szCs w:val="22"/>
        </w:rPr>
        <w:tab/>
      </w:r>
      <w:r>
        <w:rPr>
          <w:rFonts w:eastAsia="Calibri" w:cstheme="minorHAnsi"/>
          <w:bCs/>
          <w:kern w:val="36"/>
          <w:sz w:val="22"/>
          <w:szCs w:val="22"/>
        </w:rPr>
        <w:br/>
      </w:r>
      <w:r>
        <w:rPr>
          <w:rFonts w:eastAsia="Calibri" w:cstheme="minorHAnsi"/>
          <w:bCs/>
          <w:kern w:val="36"/>
          <w:sz w:val="22"/>
          <w:szCs w:val="22"/>
        </w:rPr>
        <w:br/>
        <w:t>est publié dans une revue figurant dans la liste (énumérée à l’annexe 5) ;</w:t>
      </w:r>
      <w:r>
        <w:rPr>
          <w:rFonts w:eastAsia="Calibri" w:cstheme="minorHAnsi"/>
          <w:bCs/>
          <w:kern w:val="36"/>
          <w:sz w:val="22"/>
          <w:szCs w:val="22"/>
          <w:highlight w:val="yellow"/>
        </w:rPr>
        <w:t xml:space="preserve"> </w:t>
      </w:r>
    </w:p>
    <w:p>
      <w:pPr>
        <w:keepLines/>
        <w:numPr>
          <w:ilvl w:val="0"/>
          <w:numId w:val="16"/>
        </w:numPr>
        <w:spacing w:after="240"/>
        <w:ind w:left="993" w:hanging="273"/>
        <w:jc w:val="both"/>
        <w:outlineLvl w:val="0"/>
        <w:rPr>
          <w:rFonts w:eastAsia="Calibri" w:cstheme="minorHAnsi"/>
          <w:kern w:val="36"/>
          <w:sz w:val="22"/>
          <w:szCs w:val="22"/>
        </w:rPr>
      </w:pPr>
      <w:proofErr w:type="spellStart"/>
      <w:proofErr w:type="gramStart"/>
      <w:r>
        <w:rPr>
          <w:rFonts w:eastAsia="Calibri" w:cstheme="minorHAnsi"/>
          <w:bCs/>
          <w:kern w:val="36"/>
          <w:sz w:val="22"/>
          <w:szCs w:val="22"/>
        </w:rPr>
        <w:t>is</w:t>
      </w:r>
      <w:proofErr w:type="spellEnd"/>
      <w:proofErr w:type="gramEnd"/>
      <w:r>
        <w:rPr>
          <w:rFonts w:eastAsia="Calibri" w:cstheme="minorHAnsi"/>
          <w:bCs/>
          <w:kern w:val="36"/>
          <w:sz w:val="22"/>
          <w:szCs w:val="22"/>
        </w:rPr>
        <w:t xml:space="preserve"> a </w:t>
      </w:r>
      <w:proofErr w:type="spellStart"/>
      <w:r>
        <w:rPr>
          <w:rFonts w:eastAsia="Calibri" w:cstheme="minorHAnsi"/>
          <w:bCs/>
          <w:kern w:val="36"/>
          <w:sz w:val="22"/>
          <w:szCs w:val="22"/>
        </w:rPr>
        <w:t>manuscript</w:t>
      </w:r>
      <w:proofErr w:type="spellEnd"/>
      <w:r>
        <w:rPr>
          <w:rFonts w:eastAsia="Calibri" w:cstheme="minorHAnsi"/>
          <w:bCs/>
          <w:kern w:val="36"/>
          <w:sz w:val="22"/>
          <w:szCs w:val="22"/>
        </w:rPr>
        <w:t xml:space="preserve"> of the </w:t>
      </w:r>
      <w:r>
        <w:rPr>
          <w:rFonts w:eastAsia="Calibri" w:cstheme="minorHAnsi"/>
          <w:sz w:val="22"/>
          <w:szCs w:val="22"/>
        </w:rPr>
        <w:t xml:space="preserve">type </w:t>
      </w:r>
      <w:proofErr w:type="spellStart"/>
      <w:r>
        <w:rPr>
          <w:rFonts w:eastAsia="Calibri" w:cstheme="minorHAnsi"/>
          <w:sz w:val="22"/>
          <w:szCs w:val="22"/>
        </w:rPr>
        <w:t>paper</w:t>
      </w:r>
      <w:proofErr w:type="spellEnd"/>
      <w:r>
        <w:rPr>
          <w:rFonts w:eastAsia="Calibri" w:cstheme="minorHAnsi"/>
          <w:sz w:val="22"/>
          <w:szCs w:val="22"/>
        </w:rPr>
        <w:t xml:space="preserve">, </w:t>
      </w:r>
      <w:proofErr w:type="spellStart"/>
      <w:r>
        <w:rPr>
          <w:rFonts w:eastAsia="Calibri" w:cstheme="minorHAnsi"/>
          <w:sz w:val="22"/>
          <w:szCs w:val="22"/>
        </w:rPr>
        <w:t>special</w:t>
      </w:r>
      <w:proofErr w:type="spellEnd"/>
      <w:r>
        <w:rPr>
          <w:rFonts w:eastAsia="Calibri" w:cstheme="minorHAnsi"/>
          <w:sz w:val="22"/>
          <w:szCs w:val="22"/>
        </w:rPr>
        <w:t xml:space="preserve"> issue </w:t>
      </w:r>
      <w:proofErr w:type="spellStart"/>
      <w:r>
        <w:rPr>
          <w:rFonts w:eastAsia="Calibri" w:cstheme="minorHAnsi"/>
          <w:sz w:val="22"/>
          <w:szCs w:val="22"/>
        </w:rPr>
        <w:t>paper</w:t>
      </w:r>
      <w:proofErr w:type="spellEnd"/>
      <w:r>
        <w:rPr>
          <w:rFonts w:eastAsia="Calibri" w:cstheme="minorHAnsi"/>
          <w:sz w:val="22"/>
          <w:szCs w:val="22"/>
        </w:rPr>
        <w:t xml:space="preserve">, </w:t>
      </w:r>
      <w:proofErr w:type="spellStart"/>
      <w:r>
        <w:rPr>
          <w:rFonts w:eastAsia="Calibri" w:cstheme="minorHAnsi"/>
          <w:sz w:val="22"/>
          <w:szCs w:val="22"/>
        </w:rPr>
        <w:t>review</w:t>
      </w:r>
      <w:proofErr w:type="spellEnd"/>
      <w:r>
        <w:rPr>
          <w:rFonts w:eastAsia="Calibri" w:cstheme="minorHAnsi"/>
          <w:sz w:val="22"/>
          <w:szCs w:val="22"/>
        </w:rPr>
        <w:t xml:space="preserve"> and/or </w:t>
      </w:r>
      <w:proofErr w:type="spellStart"/>
      <w:r>
        <w:rPr>
          <w:rFonts w:eastAsia="Calibri" w:cstheme="minorHAnsi"/>
          <w:sz w:val="22"/>
          <w:szCs w:val="22"/>
        </w:rPr>
        <w:t>letter</w:t>
      </w:r>
      <w:proofErr w:type="spellEnd"/>
      <w:r>
        <w:rPr>
          <w:rFonts w:cstheme="minorHAnsi"/>
          <w:sz w:val="22"/>
          <w:szCs w:val="22"/>
        </w:rPr>
        <w:t xml:space="preserve"> (</w:t>
      </w:r>
      <w:proofErr w:type="spellStart"/>
      <w:r>
        <w:rPr>
          <w:rFonts w:cstheme="minorHAnsi"/>
          <w:sz w:val="22"/>
          <w:szCs w:val="22"/>
        </w:rPr>
        <w:t>intended</w:t>
      </w:r>
      <w:proofErr w:type="spellEnd"/>
      <w:r>
        <w:rPr>
          <w:rFonts w:cstheme="minorHAnsi"/>
          <w:sz w:val="22"/>
          <w:szCs w:val="22"/>
        </w:rPr>
        <w:t xml:space="preserve"> to cover all original </w:t>
      </w:r>
      <w:proofErr w:type="spellStart"/>
      <w:r>
        <w:rPr>
          <w:rFonts w:cstheme="minorHAnsi"/>
          <w:sz w:val="22"/>
          <w:szCs w:val="22"/>
        </w:rPr>
        <w:t>research</w:t>
      </w:r>
      <w:proofErr w:type="spellEnd"/>
      <w:r>
        <w:rPr>
          <w:rFonts w:cstheme="minorHAnsi"/>
          <w:sz w:val="22"/>
          <w:szCs w:val="22"/>
        </w:rPr>
        <w:t xml:space="preserve"> and </w:t>
      </w:r>
      <w:proofErr w:type="spellStart"/>
      <w:r>
        <w:rPr>
          <w:rFonts w:cstheme="minorHAnsi"/>
          <w:sz w:val="22"/>
          <w:szCs w:val="22"/>
        </w:rPr>
        <w:t>review</w:t>
      </w:r>
      <w:proofErr w:type="spellEnd"/>
      <w:r>
        <w:rPr>
          <w:rFonts w:cstheme="minorHAnsi"/>
          <w:sz w:val="22"/>
          <w:szCs w:val="22"/>
        </w:rPr>
        <w:t xml:space="preserve"> type content);</w:t>
      </w:r>
      <w:r>
        <w:rPr>
          <w:rFonts w:cstheme="minorHAnsi"/>
          <w:sz w:val="22"/>
          <w:szCs w:val="22"/>
        </w:rPr>
        <w:tab/>
      </w:r>
      <w:r>
        <w:rPr>
          <w:rFonts w:cstheme="minorHAnsi"/>
          <w:sz w:val="22"/>
          <w:szCs w:val="22"/>
        </w:rPr>
        <w:br/>
      </w:r>
      <w:r>
        <w:rPr>
          <w:rFonts w:cstheme="minorHAnsi"/>
          <w:sz w:val="22"/>
          <w:szCs w:val="22"/>
        </w:rPr>
        <w:br/>
      </w:r>
      <w:r>
        <w:rPr>
          <w:rFonts w:eastAsia="Calibri" w:cstheme="minorHAnsi"/>
          <w:kern w:val="36"/>
          <w:sz w:val="22"/>
          <w:szCs w:val="22"/>
        </w:rPr>
        <w:t>est un manuscrit de type communication, article de numéro spécial, revue et/ou lettre (destiné à couvrir tous les contenus de type recherche originale et de revue) ;</w:t>
      </w:r>
      <w:r>
        <w:rPr>
          <w:rFonts w:eastAsia="Calibri" w:cstheme="minorHAnsi"/>
          <w:kern w:val="36"/>
          <w:sz w:val="22"/>
          <w:szCs w:val="22"/>
          <w:highlight w:val="yellow"/>
        </w:rPr>
        <w:t xml:space="preserve"> </w:t>
      </w:r>
    </w:p>
    <w:p>
      <w:pPr>
        <w:keepLines/>
        <w:numPr>
          <w:ilvl w:val="0"/>
          <w:numId w:val="16"/>
        </w:numPr>
        <w:spacing w:after="240"/>
        <w:ind w:left="993" w:hanging="273"/>
        <w:jc w:val="both"/>
        <w:outlineLvl w:val="0"/>
        <w:rPr>
          <w:rFonts w:eastAsia="Calibri" w:cstheme="minorHAnsi"/>
          <w:bCs/>
          <w:kern w:val="36"/>
          <w:sz w:val="22"/>
          <w:szCs w:val="22"/>
        </w:rPr>
      </w:pPr>
      <w:r>
        <w:rPr>
          <w:rFonts w:eastAsia="Calibri" w:cstheme="minorHAnsi"/>
          <w:bCs/>
          <w:kern w:val="36"/>
          <w:sz w:val="22"/>
          <w:szCs w:val="22"/>
          <w:lang w:val="en-GB"/>
        </w:rPr>
        <w:t xml:space="preserve">has been accepted by IOP within the term of this Licence. </w:t>
      </w:r>
      <w:r>
        <w:rPr>
          <w:rFonts w:eastAsia="Calibri" w:cstheme="minorHAnsi"/>
          <w:bCs/>
          <w:kern w:val="36"/>
          <w:sz w:val="22"/>
          <w:szCs w:val="22"/>
        </w:rPr>
        <w:t xml:space="preserve">The </w:t>
      </w:r>
      <w:proofErr w:type="spellStart"/>
      <w:r>
        <w:rPr>
          <w:rFonts w:eastAsia="Calibri" w:cstheme="minorHAnsi"/>
          <w:bCs/>
          <w:kern w:val="36"/>
          <w:sz w:val="22"/>
          <w:szCs w:val="22"/>
        </w:rPr>
        <w:t>submission</w:t>
      </w:r>
      <w:proofErr w:type="spellEnd"/>
      <w:r>
        <w:rPr>
          <w:rFonts w:eastAsia="Calibri" w:cstheme="minorHAnsi"/>
          <w:bCs/>
          <w:kern w:val="36"/>
          <w:sz w:val="22"/>
          <w:szCs w:val="22"/>
        </w:rPr>
        <w:t xml:space="preserve"> date of an article </w:t>
      </w:r>
      <w:proofErr w:type="spellStart"/>
      <w:r>
        <w:rPr>
          <w:rFonts w:eastAsia="Calibri" w:cstheme="minorHAnsi"/>
          <w:bCs/>
          <w:kern w:val="36"/>
          <w:sz w:val="22"/>
          <w:szCs w:val="22"/>
        </w:rPr>
        <w:t>does</w:t>
      </w:r>
      <w:proofErr w:type="spellEnd"/>
      <w:r>
        <w:rPr>
          <w:rFonts w:eastAsia="Calibri" w:cstheme="minorHAnsi"/>
          <w:bCs/>
          <w:kern w:val="36"/>
          <w:sz w:val="22"/>
          <w:szCs w:val="22"/>
        </w:rPr>
        <w:t xml:space="preserve"> not </w:t>
      </w:r>
      <w:proofErr w:type="spellStart"/>
      <w:r>
        <w:rPr>
          <w:rFonts w:eastAsia="Calibri" w:cstheme="minorHAnsi"/>
          <w:bCs/>
          <w:kern w:val="36"/>
          <w:sz w:val="22"/>
          <w:szCs w:val="22"/>
        </w:rPr>
        <w:t>determine</w:t>
      </w:r>
      <w:proofErr w:type="spellEnd"/>
      <w:r>
        <w:rPr>
          <w:rFonts w:eastAsia="Calibri" w:cstheme="minorHAnsi"/>
          <w:bCs/>
          <w:kern w:val="36"/>
          <w:sz w:val="22"/>
          <w:szCs w:val="22"/>
        </w:rPr>
        <w:t xml:space="preserve"> the </w:t>
      </w:r>
      <w:proofErr w:type="spellStart"/>
      <w:r>
        <w:rPr>
          <w:rFonts w:eastAsia="Calibri" w:cstheme="minorHAnsi"/>
          <w:bCs/>
          <w:kern w:val="36"/>
          <w:sz w:val="22"/>
          <w:szCs w:val="22"/>
        </w:rPr>
        <w:t>eligibility</w:t>
      </w:r>
      <w:proofErr w:type="spellEnd"/>
      <w:r>
        <w:rPr>
          <w:rFonts w:eastAsia="Calibri" w:cstheme="minorHAnsi"/>
          <w:bCs/>
          <w:kern w:val="36"/>
          <w:sz w:val="22"/>
          <w:szCs w:val="22"/>
        </w:rPr>
        <w:t xml:space="preserve"> of the </w:t>
      </w:r>
      <w:proofErr w:type="gramStart"/>
      <w:r>
        <w:rPr>
          <w:rFonts w:eastAsia="Calibri" w:cstheme="minorHAnsi"/>
          <w:bCs/>
          <w:kern w:val="36"/>
          <w:sz w:val="22"/>
          <w:szCs w:val="22"/>
        </w:rPr>
        <w:t>article;</w:t>
      </w:r>
      <w:proofErr w:type="gramEnd"/>
      <w:r>
        <w:rPr>
          <w:rFonts w:eastAsia="Calibri" w:cstheme="minorHAnsi"/>
          <w:bCs/>
          <w:kern w:val="36"/>
          <w:sz w:val="22"/>
          <w:szCs w:val="22"/>
        </w:rPr>
        <w:t xml:space="preserve"> and</w:t>
      </w:r>
      <w:r>
        <w:rPr>
          <w:rFonts w:eastAsia="Calibri" w:cstheme="minorHAnsi"/>
          <w:bCs/>
          <w:kern w:val="36"/>
          <w:sz w:val="22"/>
          <w:szCs w:val="22"/>
        </w:rPr>
        <w:tab/>
      </w:r>
      <w:r>
        <w:rPr>
          <w:rFonts w:eastAsia="Calibri" w:cstheme="minorHAnsi"/>
          <w:bCs/>
          <w:kern w:val="36"/>
          <w:sz w:val="22"/>
          <w:szCs w:val="22"/>
        </w:rPr>
        <w:br/>
      </w:r>
      <w:r>
        <w:rPr>
          <w:rFonts w:eastAsia="Calibri" w:cstheme="minorHAnsi"/>
          <w:bCs/>
          <w:kern w:val="36"/>
          <w:sz w:val="22"/>
          <w:szCs w:val="22"/>
        </w:rPr>
        <w:br/>
        <w:t xml:space="preserve">iv. </w:t>
      </w:r>
      <w:proofErr w:type="gramStart"/>
      <w:r>
        <w:rPr>
          <w:rFonts w:eastAsia="Calibri" w:cstheme="minorHAnsi"/>
          <w:bCs/>
          <w:kern w:val="36"/>
          <w:sz w:val="22"/>
          <w:szCs w:val="22"/>
        </w:rPr>
        <w:t>a</w:t>
      </w:r>
      <w:proofErr w:type="gramEnd"/>
      <w:r>
        <w:rPr>
          <w:rFonts w:eastAsia="Calibri" w:cstheme="minorHAnsi"/>
          <w:bCs/>
          <w:kern w:val="36"/>
          <w:sz w:val="22"/>
          <w:szCs w:val="22"/>
        </w:rPr>
        <w:t xml:space="preserve"> été accepté par IOP au cours de la durée de la présente Licence. La date de présentation d’un article ne détermine pas l’admissibilité de l’article ; et</w:t>
      </w:r>
      <w:r>
        <w:rPr>
          <w:rFonts w:eastAsia="Calibri" w:cstheme="minorHAnsi"/>
          <w:bCs/>
          <w:kern w:val="36"/>
          <w:sz w:val="22"/>
          <w:szCs w:val="22"/>
          <w:highlight w:val="yellow"/>
        </w:rPr>
        <w:t xml:space="preserve"> </w:t>
      </w:r>
    </w:p>
    <w:p>
      <w:pPr>
        <w:keepLines/>
        <w:numPr>
          <w:ilvl w:val="0"/>
          <w:numId w:val="16"/>
        </w:numPr>
        <w:spacing w:after="240"/>
        <w:ind w:left="993" w:hanging="273"/>
        <w:jc w:val="both"/>
        <w:outlineLvl w:val="0"/>
        <w:rPr>
          <w:rFonts w:eastAsia="Calibri" w:cstheme="minorHAnsi"/>
          <w:bCs/>
          <w:kern w:val="36"/>
          <w:sz w:val="22"/>
          <w:szCs w:val="22"/>
        </w:rPr>
      </w:pPr>
      <w:r>
        <w:rPr>
          <w:rFonts w:cstheme="minorHAnsi"/>
          <w:sz w:val="22"/>
          <w:szCs w:val="22"/>
          <w:lang w:val="en-GB"/>
        </w:rPr>
        <w:t>has been identified for inclusion within the Licence under the process outlined in clause 7 below.</w:t>
      </w:r>
      <w:r>
        <w:rPr>
          <w:rFonts w:cstheme="minorHAnsi"/>
          <w:sz w:val="22"/>
          <w:szCs w:val="22"/>
          <w:lang w:val="en-GB"/>
        </w:rPr>
        <w:tab/>
      </w:r>
      <w:r>
        <w:rPr>
          <w:rFonts w:cstheme="minorHAnsi"/>
          <w:sz w:val="22"/>
          <w:szCs w:val="22"/>
          <w:lang w:val="en-GB"/>
        </w:rPr>
        <w:br/>
      </w:r>
      <w:proofErr w:type="gramStart"/>
      <w:r>
        <w:rPr>
          <w:rFonts w:eastAsia="Calibri" w:cstheme="minorHAnsi"/>
          <w:bCs/>
          <w:kern w:val="36"/>
          <w:sz w:val="22"/>
          <w:szCs w:val="22"/>
        </w:rPr>
        <w:t>a</w:t>
      </w:r>
      <w:proofErr w:type="gramEnd"/>
      <w:r>
        <w:rPr>
          <w:rFonts w:eastAsia="Calibri" w:cstheme="minorHAnsi"/>
          <w:bCs/>
          <w:kern w:val="36"/>
          <w:sz w:val="22"/>
          <w:szCs w:val="22"/>
        </w:rPr>
        <w:t xml:space="preserve"> été identifié pour être inclus dans la Licence selon le processus décrit dans la clause 7 ci-dessous.</w:t>
      </w:r>
      <w:r>
        <w:rPr>
          <w:rFonts w:eastAsia="Calibri" w:cstheme="minorHAnsi"/>
          <w:bCs/>
          <w:kern w:val="36"/>
          <w:sz w:val="22"/>
          <w:szCs w:val="22"/>
          <w:highlight w:val="yellow"/>
        </w:rPr>
        <w:t xml:space="preserve"> </w:t>
      </w:r>
    </w:p>
    <w:p>
      <w:pPr>
        <w:keepLines/>
        <w:numPr>
          <w:ilvl w:val="0"/>
          <w:numId w:val="19"/>
        </w:numPr>
        <w:spacing w:after="240"/>
        <w:ind w:left="567" w:hanging="567"/>
        <w:jc w:val="both"/>
        <w:outlineLvl w:val="0"/>
        <w:rPr>
          <w:rFonts w:eastAsia="Calibri" w:cstheme="minorHAnsi"/>
          <w:bCs/>
          <w:kern w:val="36"/>
          <w:sz w:val="22"/>
          <w:szCs w:val="22"/>
        </w:rPr>
      </w:pPr>
      <w:r>
        <w:rPr>
          <w:rFonts w:cstheme="minorHAnsi"/>
          <w:sz w:val="22"/>
          <w:szCs w:val="22"/>
          <w:lang w:val="en-GB"/>
        </w:rPr>
        <w:t>The Article Publication Charges (“APCs”) shall be included in the Fee for all Eligible Articles.</w:t>
      </w:r>
      <w:r>
        <w:rPr>
          <w:rFonts w:cstheme="minorHAnsi"/>
          <w:sz w:val="22"/>
          <w:szCs w:val="22"/>
          <w:lang w:val="en-GB"/>
        </w:rPr>
        <w:br/>
      </w:r>
      <w:r>
        <w:rPr>
          <w:rFonts w:cstheme="minorHAnsi"/>
          <w:sz w:val="22"/>
          <w:szCs w:val="22"/>
          <w:lang w:val="en-GB"/>
        </w:rPr>
        <w:br/>
      </w:r>
      <w:r>
        <w:rPr>
          <w:rFonts w:eastAsia="Calibri" w:cstheme="minorHAnsi"/>
          <w:bCs/>
          <w:kern w:val="36"/>
          <w:sz w:val="22"/>
          <w:szCs w:val="22"/>
        </w:rPr>
        <w:t>Les Frais de Publication des Articles (« FPA ») sont inclus dans les Droits pour tous les Articles éligibles.</w:t>
      </w:r>
      <w:r>
        <w:rPr>
          <w:rFonts w:eastAsia="Calibri" w:cstheme="minorHAnsi"/>
          <w:bCs/>
          <w:kern w:val="36"/>
          <w:sz w:val="22"/>
          <w:szCs w:val="22"/>
          <w:highlight w:val="yellow"/>
        </w:rPr>
        <w:t xml:space="preserve"> </w:t>
      </w:r>
    </w:p>
    <w:p>
      <w:pPr>
        <w:keepLines/>
        <w:numPr>
          <w:ilvl w:val="0"/>
          <w:numId w:val="19"/>
        </w:numPr>
        <w:spacing w:after="240"/>
        <w:ind w:left="567" w:hanging="567"/>
        <w:jc w:val="both"/>
        <w:outlineLvl w:val="0"/>
        <w:rPr>
          <w:rFonts w:eastAsia="Calibri" w:cstheme="minorHAnsi"/>
          <w:bCs/>
          <w:color w:val="000000"/>
          <w:kern w:val="36"/>
          <w:sz w:val="22"/>
          <w:szCs w:val="22"/>
        </w:rPr>
      </w:pPr>
      <w:r>
        <w:rPr>
          <w:rFonts w:eastAsia="Calibri" w:cstheme="minorHAnsi"/>
          <w:bCs/>
          <w:color w:val="000000"/>
          <w:kern w:val="36"/>
          <w:sz w:val="22"/>
          <w:szCs w:val="22"/>
          <w:lang w:val="en-GB"/>
        </w:rPr>
        <w:t>The following process to identify and include Eligible Articles under this Licence shall be followed.</w:t>
      </w:r>
      <w:r>
        <w:rPr>
          <w:rFonts w:eastAsia="Calibri" w:cstheme="minorHAnsi"/>
          <w:bCs/>
          <w:color w:val="000000"/>
          <w:kern w:val="36"/>
          <w:sz w:val="22"/>
          <w:szCs w:val="22"/>
          <w:lang w:val="en-GB"/>
        </w:rPr>
        <w:tab/>
      </w:r>
      <w:r>
        <w:rPr>
          <w:rFonts w:eastAsia="Calibri" w:cstheme="minorHAnsi"/>
          <w:bCs/>
          <w:color w:val="000000"/>
          <w:kern w:val="36"/>
          <w:sz w:val="22"/>
          <w:szCs w:val="22"/>
          <w:lang w:val="en-GB"/>
        </w:rPr>
        <w:br/>
      </w:r>
      <w:r>
        <w:rPr>
          <w:rFonts w:eastAsia="Calibri" w:cstheme="minorHAnsi"/>
          <w:bCs/>
          <w:color w:val="000000"/>
          <w:kern w:val="36"/>
          <w:sz w:val="22"/>
          <w:szCs w:val="22"/>
          <w:lang w:val="en-GB"/>
        </w:rPr>
        <w:br/>
      </w:r>
      <w:r>
        <w:rPr>
          <w:rFonts w:eastAsia="Calibri" w:cstheme="minorHAnsi"/>
          <w:bCs/>
          <w:color w:val="000000"/>
          <w:kern w:val="36"/>
          <w:sz w:val="22"/>
          <w:szCs w:val="22"/>
        </w:rPr>
        <w:t>La procédure suivante doit être suivie pour identifier et inclure les Articles éligibles au titre de la présente Licence.</w:t>
      </w:r>
      <w:r>
        <w:rPr>
          <w:rFonts w:eastAsia="Calibri" w:cstheme="minorHAnsi"/>
          <w:bCs/>
          <w:color w:val="000000"/>
          <w:kern w:val="36"/>
          <w:sz w:val="22"/>
          <w:szCs w:val="22"/>
          <w:highlight w:val="yellow"/>
        </w:rPr>
        <w:t xml:space="preserve"> </w:t>
      </w:r>
    </w:p>
    <w:p>
      <w:pPr>
        <w:keepLines/>
        <w:numPr>
          <w:ilvl w:val="0"/>
          <w:numId w:val="17"/>
        </w:numPr>
        <w:spacing w:after="240"/>
        <w:ind w:left="993" w:hanging="273"/>
        <w:jc w:val="both"/>
        <w:outlineLvl w:val="0"/>
        <w:rPr>
          <w:rFonts w:eastAsia="Calibri" w:cstheme="minorHAnsi"/>
          <w:kern w:val="36"/>
          <w:sz w:val="22"/>
          <w:szCs w:val="22"/>
        </w:rPr>
      </w:pPr>
      <w:proofErr w:type="spellStart"/>
      <w:r>
        <w:rPr>
          <w:rFonts w:eastAsia="Calibri" w:cstheme="minorHAnsi"/>
          <w:kern w:val="36"/>
          <w:sz w:val="22"/>
          <w:szCs w:val="22"/>
        </w:rPr>
        <w:t>During</w:t>
      </w:r>
      <w:proofErr w:type="spellEnd"/>
      <w:r>
        <w:rPr>
          <w:rFonts w:eastAsia="Calibri" w:cstheme="minorHAnsi"/>
          <w:kern w:val="36"/>
          <w:sz w:val="22"/>
          <w:szCs w:val="22"/>
        </w:rPr>
        <w:t xml:space="preserve"> the </w:t>
      </w:r>
      <w:proofErr w:type="spellStart"/>
      <w:r>
        <w:rPr>
          <w:rFonts w:eastAsia="Calibri" w:cstheme="minorHAnsi"/>
          <w:kern w:val="36"/>
          <w:sz w:val="22"/>
          <w:szCs w:val="22"/>
        </w:rPr>
        <w:t>peer</w:t>
      </w:r>
      <w:proofErr w:type="spellEnd"/>
      <w:r>
        <w:rPr>
          <w:rFonts w:eastAsia="Calibri" w:cstheme="minorHAnsi"/>
          <w:kern w:val="36"/>
          <w:sz w:val="22"/>
          <w:szCs w:val="22"/>
        </w:rPr>
        <w:t xml:space="preserve"> </w:t>
      </w:r>
      <w:proofErr w:type="spellStart"/>
      <w:r>
        <w:rPr>
          <w:rFonts w:eastAsia="Calibri" w:cstheme="minorHAnsi"/>
          <w:kern w:val="36"/>
          <w:sz w:val="22"/>
          <w:szCs w:val="22"/>
        </w:rPr>
        <w:t>review</w:t>
      </w:r>
      <w:proofErr w:type="spellEnd"/>
      <w:r>
        <w:rPr>
          <w:rFonts w:eastAsia="Calibri" w:cstheme="minorHAnsi"/>
          <w:kern w:val="36"/>
          <w:sz w:val="22"/>
          <w:szCs w:val="22"/>
        </w:rPr>
        <w:t xml:space="preserve"> process, IOP </w:t>
      </w:r>
      <w:proofErr w:type="spellStart"/>
      <w:r>
        <w:rPr>
          <w:rFonts w:eastAsia="Calibri" w:cstheme="minorHAnsi"/>
          <w:kern w:val="36"/>
          <w:sz w:val="22"/>
          <w:szCs w:val="22"/>
        </w:rPr>
        <w:t>will</w:t>
      </w:r>
      <w:proofErr w:type="spellEnd"/>
      <w:r>
        <w:rPr>
          <w:rFonts w:eastAsia="Calibri" w:cstheme="minorHAnsi"/>
          <w:kern w:val="36"/>
          <w:sz w:val="22"/>
          <w:szCs w:val="22"/>
        </w:rPr>
        <w:t xml:space="preserve"> </w:t>
      </w:r>
      <w:proofErr w:type="spellStart"/>
      <w:r>
        <w:rPr>
          <w:rFonts w:eastAsia="Calibri" w:cstheme="minorHAnsi"/>
          <w:kern w:val="36"/>
          <w:sz w:val="22"/>
          <w:szCs w:val="22"/>
        </w:rPr>
        <w:t>make</w:t>
      </w:r>
      <w:proofErr w:type="spellEnd"/>
      <w:r>
        <w:rPr>
          <w:rFonts w:eastAsia="Calibri" w:cstheme="minorHAnsi"/>
          <w:kern w:val="36"/>
          <w:sz w:val="22"/>
          <w:szCs w:val="22"/>
        </w:rPr>
        <w:t xml:space="preserve"> </w:t>
      </w:r>
      <w:proofErr w:type="spellStart"/>
      <w:r>
        <w:rPr>
          <w:rFonts w:eastAsia="Calibri" w:cstheme="minorHAnsi"/>
          <w:kern w:val="36"/>
          <w:sz w:val="22"/>
          <w:szCs w:val="22"/>
        </w:rPr>
        <w:t>reasonable</w:t>
      </w:r>
      <w:proofErr w:type="spellEnd"/>
      <w:r>
        <w:rPr>
          <w:rFonts w:eastAsia="Calibri" w:cstheme="minorHAnsi"/>
          <w:kern w:val="36"/>
          <w:sz w:val="22"/>
          <w:szCs w:val="22"/>
        </w:rPr>
        <w:t xml:space="preserve"> efforts to </w:t>
      </w:r>
      <w:proofErr w:type="spellStart"/>
      <w:r>
        <w:rPr>
          <w:rFonts w:eastAsia="Calibri" w:cstheme="minorHAnsi"/>
          <w:kern w:val="36"/>
          <w:sz w:val="22"/>
          <w:szCs w:val="22"/>
        </w:rPr>
        <w:t>identify</w:t>
      </w:r>
      <w:proofErr w:type="spellEnd"/>
      <w:r>
        <w:rPr>
          <w:rFonts w:eastAsia="Calibri" w:cstheme="minorHAnsi"/>
          <w:kern w:val="36"/>
          <w:sz w:val="22"/>
          <w:szCs w:val="22"/>
        </w:rPr>
        <w:t xml:space="preserve"> and </w:t>
      </w:r>
      <w:proofErr w:type="spellStart"/>
      <w:r>
        <w:rPr>
          <w:rFonts w:eastAsia="Calibri" w:cstheme="minorHAnsi"/>
          <w:kern w:val="36"/>
          <w:sz w:val="22"/>
          <w:szCs w:val="22"/>
        </w:rPr>
        <w:t>inform</w:t>
      </w:r>
      <w:proofErr w:type="spellEnd"/>
      <w:r>
        <w:rPr>
          <w:rFonts w:eastAsia="Calibri" w:cstheme="minorHAnsi"/>
          <w:kern w:val="36"/>
          <w:sz w:val="22"/>
          <w:szCs w:val="22"/>
        </w:rPr>
        <w:t xml:space="preserve"> </w:t>
      </w:r>
      <w:proofErr w:type="spellStart"/>
      <w:r>
        <w:rPr>
          <w:rFonts w:eastAsia="Calibri" w:cstheme="minorHAnsi"/>
          <w:kern w:val="36"/>
          <w:sz w:val="22"/>
          <w:szCs w:val="22"/>
        </w:rPr>
        <w:t>Corresponding</w:t>
      </w:r>
      <w:proofErr w:type="spellEnd"/>
      <w:r>
        <w:rPr>
          <w:rFonts w:eastAsia="Calibri" w:cstheme="minorHAnsi"/>
          <w:kern w:val="36"/>
          <w:sz w:val="22"/>
          <w:szCs w:val="22"/>
        </w:rPr>
        <w:t xml:space="preserve"> </w:t>
      </w:r>
      <w:proofErr w:type="spellStart"/>
      <w:r>
        <w:rPr>
          <w:rFonts w:eastAsia="Calibri" w:cstheme="minorHAnsi"/>
          <w:kern w:val="36"/>
          <w:sz w:val="22"/>
          <w:szCs w:val="22"/>
        </w:rPr>
        <w:t>Authors</w:t>
      </w:r>
      <w:proofErr w:type="spellEnd"/>
      <w:r>
        <w:rPr>
          <w:rFonts w:eastAsia="Calibri" w:cstheme="minorHAnsi"/>
          <w:kern w:val="36"/>
          <w:sz w:val="22"/>
          <w:szCs w:val="22"/>
        </w:rPr>
        <w:t xml:space="preserve"> of </w:t>
      </w:r>
      <w:proofErr w:type="spellStart"/>
      <w:r>
        <w:rPr>
          <w:rFonts w:eastAsia="Calibri" w:cstheme="minorHAnsi"/>
          <w:kern w:val="36"/>
          <w:sz w:val="22"/>
          <w:szCs w:val="22"/>
        </w:rPr>
        <w:t>their</w:t>
      </w:r>
      <w:proofErr w:type="spellEnd"/>
      <w:r>
        <w:rPr>
          <w:rFonts w:eastAsia="Calibri" w:cstheme="minorHAnsi"/>
          <w:kern w:val="36"/>
          <w:sz w:val="22"/>
          <w:szCs w:val="22"/>
        </w:rPr>
        <w:t xml:space="preserve"> </w:t>
      </w:r>
      <w:proofErr w:type="spellStart"/>
      <w:r>
        <w:rPr>
          <w:rFonts w:eastAsia="Calibri" w:cstheme="minorHAnsi"/>
          <w:kern w:val="36"/>
          <w:sz w:val="22"/>
          <w:szCs w:val="22"/>
        </w:rPr>
        <w:t>article’s</w:t>
      </w:r>
      <w:proofErr w:type="spellEnd"/>
      <w:r>
        <w:rPr>
          <w:rFonts w:eastAsia="Calibri" w:cstheme="minorHAnsi"/>
          <w:kern w:val="36"/>
          <w:sz w:val="22"/>
          <w:szCs w:val="22"/>
        </w:rPr>
        <w:t xml:space="preserve"> possible </w:t>
      </w:r>
      <w:proofErr w:type="spellStart"/>
      <w:r>
        <w:rPr>
          <w:rFonts w:eastAsia="Calibri" w:cstheme="minorHAnsi"/>
          <w:kern w:val="36"/>
          <w:sz w:val="22"/>
          <w:szCs w:val="22"/>
        </w:rPr>
        <w:t>eligibility</w:t>
      </w:r>
      <w:proofErr w:type="spellEnd"/>
      <w:r>
        <w:rPr>
          <w:rFonts w:eastAsia="Calibri" w:cstheme="minorHAnsi"/>
          <w:kern w:val="36"/>
          <w:sz w:val="22"/>
          <w:szCs w:val="22"/>
        </w:rPr>
        <w:t xml:space="preserve"> for inclusion in </w:t>
      </w:r>
      <w:proofErr w:type="spellStart"/>
      <w:r>
        <w:rPr>
          <w:rFonts w:eastAsia="Calibri" w:cstheme="minorHAnsi"/>
          <w:kern w:val="36"/>
          <w:sz w:val="22"/>
          <w:szCs w:val="22"/>
        </w:rPr>
        <w:t>this</w:t>
      </w:r>
      <w:proofErr w:type="spellEnd"/>
      <w:r>
        <w:rPr>
          <w:rFonts w:eastAsia="Calibri" w:cstheme="minorHAnsi"/>
          <w:kern w:val="36"/>
          <w:sz w:val="22"/>
          <w:szCs w:val="22"/>
        </w:rPr>
        <w:t xml:space="preserve"> Licence and/or IOP </w:t>
      </w:r>
      <w:proofErr w:type="spellStart"/>
      <w:r>
        <w:rPr>
          <w:rFonts w:eastAsia="Calibri" w:cstheme="minorHAnsi"/>
          <w:kern w:val="36"/>
          <w:sz w:val="22"/>
          <w:szCs w:val="22"/>
        </w:rPr>
        <w:t>will</w:t>
      </w:r>
      <w:proofErr w:type="spellEnd"/>
      <w:r>
        <w:rPr>
          <w:rFonts w:eastAsia="Calibri" w:cstheme="minorHAnsi"/>
          <w:kern w:val="36"/>
          <w:sz w:val="22"/>
          <w:szCs w:val="22"/>
        </w:rPr>
        <w:t xml:space="preserve"> use </w:t>
      </w:r>
      <w:proofErr w:type="spellStart"/>
      <w:r>
        <w:rPr>
          <w:rFonts w:eastAsia="Calibri" w:cstheme="minorHAnsi"/>
          <w:kern w:val="36"/>
          <w:sz w:val="22"/>
          <w:szCs w:val="22"/>
        </w:rPr>
        <w:t>reasonable</w:t>
      </w:r>
      <w:proofErr w:type="spellEnd"/>
      <w:r>
        <w:rPr>
          <w:rFonts w:eastAsia="Calibri" w:cstheme="minorHAnsi"/>
          <w:kern w:val="36"/>
          <w:sz w:val="22"/>
          <w:szCs w:val="22"/>
        </w:rPr>
        <w:t xml:space="preserve"> efforts to </w:t>
      </w:r>
      <w:proofErr w:type="spellStart"/>
      <w:r>
        <w:rPr>
          <w:rFonts w:eastAsia="Calibri" w:cstheme="minorHAnsi"/>
          <w:kern w:val="36"/>
          <w:sz w:val="22"/>
          <w:szCs w:val="22"/>
        </w:rPr>
        <w:t>ensure</w:t>
      </w:r>
      <w:proofErr w:type="spellEnd"/>
      <w:r>
        <w:rPr>
          <w:rFonts w:eastAsia="Calibri" w:cstheme="minorHAnsi"/>
          <w:kern w:val="36"/>
          <w:sz w:val="22"/>
          <w:szCs w:val="22"/>
        </w:rPr>
        <w:t xml:space="preserve"> </w:t>
      </w:r>
      <w:proofErr w:type="spellStart"/>
      <w:r>
        <w:rPr>
          <w:rFonts w:eastAsia="Calibri" w:cstheme="minorHAnsi"/>
          <w:kern w:val="36"/>
          <w:sz w:val="22"/>
          <w:szCs w:val="22"/>
        </w:rPr>
        <w:t>that</w:t>
      </w:r>
      <w:proofErr w:type="spellEnd"/>
      <w:r>
        <w:rPr>
          <w:rFonts w:eastAsia="Calibri" w:cstheme="minorHAnsi"/>
          <w:kern w:val="36"/>
          <w:sz w:val="22"/>
          <w:szCs w:val="22"/>
        </w:rPr>
        <w:t xml:space="preserve"> the respective </w:t>
      </w:r>
      <w:proofErr w:type="spellStart"/>
      <w:r>
        <w:rPr>
          <w:rFonts w:eastAsia="Calibri" w:cstheme="minorHAnsi"/>
          <w:kern w:val="36"/>
          <w:sz w:val="22"/>
          <w:szCs w:val="22"/>
        </w:rPr>
        <w:t>partner</w:t>
      </w:r>
      <w:proofErr w:type="spellEnd"/>
      <w:r>
        <w:rPr>
          <w:rFonts w:eastAsia="Calibri" w:cstheme="minorHAnsi"/>
          <w:kern w:val="36"/>
          <w:sz w:val="22"/>
          <w:szCs w:val="22"/>
        </w:rPr>
        <w:t xml:space="preserve"> </w:t>
      </w:r>
      <w:proofErr w:type="spellStart"/>
      <w:r>
        <w:rPr>
          <w:rFonts w:eastAsia="Calibri" w:cstheme="minorHAnsi"/>
          <w:kern w:val="36"/>
          <w:sz w:val="22"/>
          <w:szCs w:val="22"/>
        </w:rPr>
        <w:t>informs</w:t>
      </w:r>
      <w:proofErr w:type="spellEnd"/>
      <w:r>
        <w:rPr>
          <w:rFonts w:eastAsia="Calibri" w:cstheme="minorHAnsi"/>
          <w:kern w:val="36"/>
          <w:sz w:val="22"/>
          <w:szCs w:val="22"/>
        </w:rPr>
        <w:t xml:space="preserve"> </w:t>
      </w:r>
      <w:proofErr w:type="spellStart"/>
      <w:r>
        <w:rPr>
          <w:rFonts w:eastAsia="Calibri" w:cstheme="minorHAnsi"/>
          <w:kern w:val="36"/>
          <w:sz w:val="22"/>
          <w:szCs w:val="22"/>
        </w:rPr>
        <w:t>those</w:t>
      </w:r>
      <w:proofErr w:type="spellEnd"/>
      <w:r>
        <w:rPr>
          <w:rFonts w:eastAsia="Calibri" w:cstheme="minorHAnsi"/>
          <w:kern w:val="36"/>
          <w:sz w:val="22"/>
          <w:szCs w:val="22"/>
        </w:rPr>
        <w:t xml:space="preserve"> </w:t>
      </w:r>
      <w:proofErr w:type="spellStart"/>
      <w:r>
        <w:rPr>
          <w:rFonts w:eastAsia="Calibri" w:cstheme="minorHAnsi"/>
          <w:kern w:val="36"/>
          <w:sz w:val="22"/>
          <w:szCs w:val="22"/>
        </w:rPr>
        <w:t>authors</w:t>
      </w:r>
      <w:proofErr w:type="spellEnd"/>
      <w:r>
        <w:rPr>
          <w:rFonts w:eastAsia="Calibri" w:cstheme="minorHAnsi"/>
          <w:kern w:val="36"/>
          <w:sz w:val="22"/>
          <w:szCs w:val="22"/>
        </w:rPr>
        <w:t xml:space="preserve"> </w:t>
      </w:r>
      <w:proofErr w:type="spellStart"/>
      <w:r>
        <w:rPr>
          <w:rFonts w:eastAsia="Calibri" w:cstheme="minorHAnsi"/>
          <w:kern w:val="36"/>
          <w:sz w:val="22"/>
          <w:szCs w:val="22"/>
        </w:rPr>
        <w:t>where</w:t>
      </w:r>
      <w:proofErr w:type="spellEnd"/>
      <w:r>
        <w:rPr>
          <w:rFonts w:eastAsia="Calibri" w:cstheme="minorHAnsi"/>
          <w:kern w:val="36"/>
          <w:sz w:val="22"/>
          <w:szCs w:val="22"/>
        </w:rPr>
        <w:t xml:space="preserve"> a journal </w:t>
      </w:r>
      <w:proofErr w:type="spellStart"/>
      <w:r>
        <w:rPr>
          <w:rFonts w:eastAsia="Calibri" w:cstheme="minorHAnsi"/>
          <w:kern w:val="36"/>
          <w:sz w:val="22"/>
          <w:szCs w:val="22"/>
        </w:rPr>
        <w:t>is</w:t>
      </w:r>
      <w:proofErr w:type="spellEnd"/>
      <w:r>
        <w:rPr>
          <w:rFonts w:eastAsia="Calibri" w:cstheme="minorHAnsi"/>
          <w:kern w:val="36"/>
          <w:sz w:val="22"/>
          <w:szCs w:val="22"/>
        </w:rPr>
        <w:t xml:space="preserve"> </w:t>
      </w:r>
      <w:proofErr w:type="spellStart"/>
      <w:r>
        <w:rPr>
          <w:rFonts w:eastAsia="Calibri" w:cstheme="minorHAnsi"/>
          <w:kern w:val="36"/>
          <w:sz w:val="22"/>
          <w:szCs w:val="22"/>
        </w:rPr>
        <w:t>owned</w:t>
      </w:r>
      <w:proofErr w:type="spellEnd"/>
      <w:r>
        <w:rPr>
          <w:rFonts w:eastAsia="Calibri" w:cstheme="minorHAnsi"/>
          <w:kern w:val="36"/>
          <w:sz w:val="22"/>
          <w:szCs w:val="22"/>
        </w:rPr>
        <w:t xml:space="preserve"> by </w:t>
      </w:r>
      <w:proofErr w:type="spellStart"/>
      <w:r>
        <w:rPr>
          <w:rFonts w:eastAsia="Calibri" w:cstheme="minorHAnsi"/>
          <w:kern w:val="36"/>
          <w:sz w:val="22"/>
          <w:szCs w:val="22"/>
        </w:rPr>
        <w:t>that</w:t>
      </w:r>
      <w:proofErr w:type="spellEnd"/>
      <w:r>
        <w:rPr>
          <w:rFonts w:eastAsia="Calibri" w:cstheme="minorHAnsi"/>
          <w:kern w:val="36"/>
          <w:sz w:val="22"/>
          <w:szCs w:val="22"/>
        </w:rPr>
        <w:t xml:space="preserve"> </w:t>
      </w:r>
      <w:proofErr w:type="spellStart"/>
      <w:r>
        <w:rPr>
          <w:rFonts w:eastAsia="Calibri" w:cstheme="minorHAnsi"/>
          <w:kern w:val="36"/>
          <w:sz w:val="22"/>
          <w:szCs w:val="22"/>
        </w:rPr>
        <w:t>partner</w:t>
      </w:r>
      <w:proofErr w:type="spellEnd"/>
      <w:r>
        <w:rPr>
          <w:rFonts w:eastAsia="Calibri" w:cstheme="minorHAnsi"/>
          <w:bCs/>
          <w:kern w:val="36"/>
          <w:sz w:val="22"/>
          <w:szCs w:val="22"/>
        </w:rPr>
        <w:t xml:space="preserve">; IOP and </w:t>
      </w:r>
      <w:proofErr w:type="spellStart"/>
      <w:r>
        <w:rPr>
          <w:rFonts w:eastAsia="Calibri" w:cstheme="minorHAnsi"/>
          <w:bCs/>
          <w:kern w:val="36"/>
          <w:sz w:val="22"/>
          <w:szCs w:val="22"/>
        </w:rPr>
        <w:t>its</w:t>
      </w:r>
      <w:proofErr w:type="spellEnd"/>
      <w:r>
        <w:rPr>
          <w:rFonts w:eastAsia="Calibri" w:cstheme="minorHAnsi"/>
          <w:bCs/>
          <w:kern w:val="36"/>
          <w:sz w:val="22"/>
          <w:szCs w:val="22"/>
        </w:rPr>
        <w:t xml:space="preserve"> </w:t>
      </w:r>
      <w:proofErr w:type="spellStart"/>
      <w:r>
        <w:rPr>
          <w:rFonts w:eastAsia="Calibri" w:cstheme="minorHAnsi"/>
          <w:bCs/>
          <w:kern w:val="36"/>
          <w:sz w:val="22"/>
          <w:szCs w:val="22"/>
        </w:rPr>
        <w:t>partners</w:t>
      </w:r>
      <w:proofErr w:type="spellEnd"/>
      <w:r>
        <w:rPr>
          <w:rFonts w:eastAsia="Calibri" w:cstheme="minorHAnsi"/>
          <w:bCs/>
          <w:kern w:val="36"/>
          <w:sz w:val="22"/>
          <w:szCs w:val="22"/>
        </w:rPr>
        <w:t xml:space="preserve"> assume no </w:t>
      </w:r>
      <w:proofErr w:type="spellStart"/>
      <w:r>
        <w:rPr>
          <w:rFonts w:eastAsia="Calibri" w:cstheme="minorHAnsi"/>
          <w:bCs/>
          <w:kern w:val="36"/>
          <w:sz w:val="22"/>
          <w:szCs w:val="22"/>
        </w:rPr>
        <w:t>liability</w:t>
      </w:r>
      <w:proofErr w:type="spellEnd"/>
      <w:r>
        <w:rPr>
          <w:rFonts w:eastAsia="Calibri" w:cstheme="minorHAnsi"/>
          <w:bCs/>
          <w:kern w:val="36"/>
          <w:sz w:val="22"/>
          <w:szCs w:val="22"/>
        </w:rPr>
        <w:t xml:space="preserve"> for </w:t>
      </w:r>
      <w:proofErr w:type="spellStart"/>
      <w:r>
        <w:rPr>
          <w:rFonts w:eastAsia="Calibri" w:cstheme="minorHAnsi"/>
          <w:bCs/>
          <w:kern w:val="36"/>
          <w:sz w:val="22"/>
          <w:szCs w:val="22"/>
        </w:rPr>
        <w:t>failure</w:t>
      </w:r>
      <w:proofErr w:type="spellEnd"/>
      <w:r>
        <w:rPr>
          <w:rFonts w:eastAsia="Calibri" w:cstheme="minorHAnsi"/>
          <w:bCs/>
          <w:kern w:val="36"/>
          <w:sz w:val="22"/>
          <w:szCs w:val="22"/>
        </w:rPr>
        <w:t xml:space="preserve"> to </w:t>
      </w:r>
      <w:proofErr w:type="spellStart"/>
      <w:r>
        <w:rPr>
          <w:rFonts w:eastAsia="Calibri" w:cstheme="minorHAnsi"/>
          <w:bCs/>
          <w:kern w:val="36"/>
          <w:sz w:val="22"/>
          <w:szCs w:val="22"/>
        </w:rPr>
        <w:t>identify</w:t>
      </w:r>
      <w:proofErr w:type="spellEnd"/>
      <w:r>
        <w:rPr>
          <w:rFonts w:eastAsia="Calibri" w:cstheme="minorHAnsi"/>
          <w:bCs/>
          <w:kern w:val="36"/>
          <w:sz w:val="22"/>
          <w:szCs w:val="22"/>
        </w:rPr>
        <w:t xml:space="preserve"> </w:t>
      </w:r>
      <w:proofErr w:type="spellStart"/>
      <w:r>
        <w:rPr>
          <w:rFonts w:eastAsia="Calibri" w:cstheme="minorHAnsi"/>
          <w:bCs/>
          <w:kern w:val="36"/>
          <w:sz w:val="22"/>
          <w:szCs w:val="22"/>
        </w:rPr>
        <w:t>whether</w:t>
      </w:r>
      <w:proofErr w:type="spellEnd"/>
      <w:r>
        <w:rPr>
          <w:rFonts w:eastAsia="Calibri" w:cstheme="minorHAnsi"/>
          <w:bCs/>
          <w:kern w:val="36"/>
          <w:sz w:val="22"/>
          <w:szCs w:val="22"/>
        </w:rPr>
        <w:t xml:space="preserve"> a </w:t>
      </w:r>
      <w:proofErr w:type="spellStart"/>
      <w:r>
        <w:rPr>
          <w:rFonts w:eastAsia="Calibri" w:cstheme="minorHAnsi"/>
          <w:bCs/>
          <w:kern w:val="36"/>
          <w:sz w:val="22"/>
          <w:szCs w:val="22"/>
        </w:rPr>
        <w:t>Corresponding</w:t>
      </w:r>
      <w:proofErr w:type="spellEnd"/>
      <w:r>
        <w:rPr>
          <w:rFonts w:eastAsia="Calibri" w:cstheme="minorHAnsi"/>
          <w:bCs/>
          <w:kern w:val="36"/>
          <w:sz w:val="22"/>
          <w:szCs w:val="22"/>
        </w:rPr>
        <w:t xml:space="preserve"> </w:t>
      </w:r>
      <w:proofErr w:type="spellStart"/>
      <w:r>
        <w:rPr>
          <w:rFonts w:eastAsia="Calibri" w:cstheme="minorHAnsi"/>
          <w:bCs/>
          <w:kern w:val="36"/>
          <w:sz w:val="22"/>
          <w:szCs w:val="22"/>
        </w:rPr>
        <w:t>Author</w:t>
      </w:r>
      <w:proofErr w:type="spellEnd"/>
      <w:r>
        <w:rPr>
          <w:rFonts w:eastAsia="Calibri" w:cstheme="minorHAnsi"/>
          <w:bCs/>
          <w:kern w:val="36"/>
          <w:sz w:val="22"/>
          <w:szCs w:val="22"/>
        </w:rPr>
        <w:t xml:space="preserve"> </w:t>
      </w:r>
      <w:proofErr w:type="spellStart"/>
      <w:r>
        <w:rPr>
          <w:rFonts w:eastAsia="Calibri" w:cstheme="minorHAnsi"/>
          <w:bCs/>
          <w:kern w:val="36"/>
          <w:sz w:val="22"/>
          <w:szCs w:val="22"/>
        </w:rPr>
        <w:t>is</w:t>
      </w:r>
      <w:proofErr w:type="spellEnd"/>
      <w:r>
        <w:rPr>
          <w:rFonts w:eastAsia="Calibri" w:cstheme="minorHAnsi"/>
          <w:bCs/>
          <w:kern w:val="36"/>
          <w:sz w:val="22"/>
          <w:szCs w:val="22"/>
        </w:rPr>
        <w:t xml:space="preserve"> a </w:t>
      </w:r>
      <w:proofErr w:type="spellStart"/>
      <w:r>
        <w:rPr>
          <w:rFonts w:eastAsia="Calibri" w:cstheme="minorHAnsi"/>
          <w:bCs/>
          <w:kern w:val="36"/>
          <w:sz w:val="22"/>
          <w:szCs w:val="22"/>
        </w:rPr>
        <w:t>current</w:t>
      </w:r>
      <w:proofErr w:type="spellEnd"/>
      <w:r>
        <w:rPr>
          <w:rFonts w:eastAsia="Calibri" w:cstheme="minorHAnsi"/>
          <w:bCs/>
          <w:kern w:val="36"/>
          <w:sz w:val="22"/>
          <w:szCs w:val="22"/>
        </w:rPr>
        <w:t xml:space="preserve"> staff </w:t>
      </w:r>
      <w:proofErr w:type="spellStart"/>
      <w:r>
        <w:rPr>
          <w:rFonts w:eastAsia="Calibri" w:cstheme="minorHAnsi"/>
          <w:bCs/>
          <w:kern w:val="36"/>
          <w:sz w:val="22"/>
          <w:szCs w:val="22"/>
        </w:rPr>
        <w:t>member</w:t>
      </w:r>
      <w:proofErr w:type="spellEnd"/>
      <w:r>
        <w:rPr>
          <w:rFonts w:eastAsia="Calibri" w:cstheme="minorHAnsi"/>
          <w:bCs/>
          <w:kern w:val="36"/>
          <w:sz w:val="22"/>
          <w:szCs w:val="22"/>
        </w:rPr>
        <w:t xml:space="preserve">, </w:t>
      </w:r>
      <w:proofErr w:type="spellStart"/>
      <w:r>
        <w:rPr>
          <w:rFonts w:eastAsia="Calibri" w:cstheme="minorHAnsi"/>
          <w:bCs/>
          <w:kern w:val="36"/>
          <w:sz w:val="22"/>
          <w:szCs w:val="22"/>
        </w:rPr>
        <w:t>researcher</w:t>
      </w:r>
      <w:proofErr w:type="spellEnd"/>
      <w:r>
        <w:rPr>
          <w:rFonts w:eastAsia="Calibri" w:cstheme="minorHAnsi"/>
          <w:bCs/>
          <w:kern w:val="36"/>
          <w:sz w:val="22"/>
          <w:szCs w:val="22"/>
        </w:rPr>
        <w:t xml:space="preserve"> or </w:t>
      </w:r>
      <w:proofErr w:type="spellStart"/>
      <w:r>
        <w:rPr>
          <w:rFonts w:eastAsia="Calibri" w:cstheme="minorHAnsi"/>
          <w:bCs/>
          <w:kern w:val="36"/>
          <w:sz w:val="22"/>
          <w:szCs w:val="22"/>
        </w:rPr>
        <w:t>student</w:t>
      </w:r>
      <w:proofErr w:type="spellEnd"/>
      <w:r>
        <w:rPr>
          <w:rFonts w:eastAsia="Calibri" w:cstheme="minorHAnsi"/>
          <w:bCs/>
          <w:kern w:val="36"/>
          <w:sz w:val="22"/>
          <w:szCs w:val="22"/>
        </w:rPr>
        <w:t xml:space="preserve"> of the </w:t>
      </w:r>
      <w:proofErr w:type="spellStart"/>
      <w:r>
        <w:rPr>
          <w:rFonts w:eastAsia="Calibri" w:cstheme="minorHAnsi"/>
          <w:bCs/>
          <w:kern w:val="36"/>
          <w:sz w:val="22"/>
          <w:szCs w:val="22"/>
        </w:rPr>
        <w:t>Licensee</w:t>
      </w:r>
      <w:proofErr w:type="spellEnd"/>
      <w:r>
        <w:rPr>
          <w:rFonts w:eastAsia="Calibri" w:cstheme="minorHAnsi"/>
          <w:bCs/>
          <w:kern w:val="36"/>
          <w:sz w:val="22"/>
          <w:szCs w:val="22"/>
        </w:rPr>
        <w:t>;</w:t>
      </w:r>
      <w:r>
        <w:rPr>
          <w:rFonts w:eastAsia="Calibri" w:cstheme="minorHAnsi"/>
          <w:bCs/>
          <w:kern w:val="36"/>
          <w:sz w:val="22"/>
          <w:szCs w:val="22"/>
        </w:rPr>
        <w:tab/>
      </w:r>
      <w:r>
        <w:rPr>
          <w:rFonts w:eastAsia="Calibri" w:cstheme="minorHAnsi"/>
          <w:bCs/>
          <w:kern w:val="36"/>
          <w:sz w:val="22"/>
          <w:szCs w:val="22"/>
        </w:rPr>
        <w:br/>
      </w:r>
      <w:r>
        <w:rPr>
          <w:rFonts w:eastAsia="Calibri" w:cstheme="minorHAnsi"/>
          <w:bCs/>
          <w:kern w:val="36"/>
          <w:sz w:val="22"/>
          <w:szCs w:val="22"/>
        </w:rPr>
        <w:br/>
      </w:r>
      <w:r>
        <w:rPr>
          <w:rFonts w:eastAsia="Calibri" w:cstheme="minorHAnsi"/>
          <w:kern w:val="36"/>
          <w:sz w:val="22"/>
          <w:szCs w:val="22"/>
        </w:rPr>
        <w:t>Au cours du processus d’examen par les pairs, IOP déploiera des efforts raisonnables pour identifier et informer les Auteurs correspondants de l’admissibilité possible de leur article dans cette Licence et/ou IOP déploiera des efforts raisonnables pour s’assurer que le partenaire respectif informe ces auteurs lorsqu’une revue est détenue par ce partenaire ; IOP et ses partenaires n’assument aucune responsabilité en cas d’incapacité à identifier si un Auteur correspondant est un membre actuel du personnel, un chercheur ou un étudiant du Titulaire de Licence.</w:t>
      </w:r>
      <w:r>
        <w:rPr>
          <w:rFonts w:eastAsia="Calibri" w:cstheme="minorHAnsi"/>
          <w:kern w:val="36"/>
          <w:sz w:val="22"/>
          <w:szCs w:val="22"/>
          <w:highlight w:val="yellow"/>
        </w:rPr>
        <w:t xml:space="preserve"> </w:t>
      </w:r>
    </w:p>
    <w:p>
      <w:pPr>
        <w:keepLines/>
        <w:numPr>
          <w:ilvl w:val="0"/>
          <w:numId w:val="17"/>
        </w:numPr>
        <w:spacing w:after="240"/>
        <w:ind w:left="993" w:hanging="273"/>
        <w:jc w:val="both"/>
        <w:outlineLvl w:val="0"/>
        <w:rPr>
          <w:rFonts w:eastAsia="Calibri" w:cstheme="minorHAnsi"/>
          <w:bCs/>
          <w:kern w:val="36"/>
          <w:sz w:val="22"/>
          <w:szCs w:val="22"/>
        </w:rPr>
      </w:pPr>
      <w:r>
        <w:rPr>
          <w:rFonts w:eastAsia="Calibri" w:cstheme="minorHAnsi"/>
          <w:bCs/>
          <w:kern w:val="36"/>
          <w:sz w:val="22"/>
          <w:szCs w:val="22"/>
        </w:rPr>
        <w:lastRenderedPageBreak/>
        <w:t xml:space="preserve">The </w:t>
      </w:r>
      <w:proofErr w:type="spellStart"/>
      <w:r>
        <w:rPr>
          <w:rFonts w:eastAsia="Calibri" w:cstheme="minorHAnsi"/>
          <w:bCs/>
          <w:kern w:val="36"/>
          <w:sz w:val="22"/>
          <w:szCs w:val="22"/>
        </w:rPr>
        <w:t>Corresponding</w:t>
      </w:r>
      <w:proofErr w:type="spellEnd"/>
      <w:r>
        <w:rPr>
          <w:rFonts w:eastAsia="Calibri" w:cstheme="minorHAnsi"/>
          <w:bCs/>
          <w:kern w:val="36"/>
          <w:sz w:val="22"/>
          <w:szCs w:val="22"/>
        </w:rPr>
        <w:t xml:space="preserve"> </w:t>
      </w:r>
      <w:proofErr w:type="spellStart"/>
      <w:r>
        <w:rPr>
          <w:rFonts w:eastAsia="Calibri" w:cstheme="minorHAnsi"/>
          <w:bCs/>
          <w:kern w:val="36"/>
          <w:sz w:val="22"/>
          <w:szCs w:val="22"/>
        </w:rPr>
        <w:t>Author</w:t>
      </w:r>
      <w:proofErr w:type="spellEnd"/>
      <w:r>
        <w:rPr>
          <w:rFonts w:eastAsia="Calibri" w:cstheme="minorHAnsi"/>
          <w:bCs/>
          <w:kern w:val="36"/>
          <w:sz w:val="22"/>
          <w:szCs w:val="22"/>
        </w:rPr>
        <w:t xml:space="preserve"> </w:t>
      </w:r>
      <w:proofErr w:type="spellStart"/>
      <w:r>
        <w:rPr>
          <w:rFonts w:eastAsia="Calibri" w:cstheme="minorHAnsi"/>
          <w:bCs/>
          <w:kern w:val="36"/>
          <w:sz w:val="22"/>
          <w:szCs w:val="22"/>
        </w:rPr>
        <w:t>may</w:t>
      </w:r>
      <w:proofErr w:type="spellEnd"/>
      <w:r>
        <w:rPr>
          <w:rFonts w:eastAsia="Calibri" w:cstheme="minorHAnsi"/>
          <w:bCs/>
          <w:kern w:val="36"/>
          <w:sz w:val="22"/>
          <w:szCs w:val="22"/>
        </w:rPr>
        <w:t xml:space="preserve"> </w:t>
      </w:r>
      <w:proofErr w:type="spellStart"/>
      <w:r>
        <w:rPr>
          <w:rFonts w:eastAsia="Calibri" w:cstheme="minorHAnsi"/>
          <w:bCs/>
          <w:kern w:val="36"/>
          <w:sz w:val="22"/>
          <w:szCs w:val="22"/>
        </w:rPr>
        <w:t>opt</w:t>
      </w:r>
      <w:proofErr w:type="spellEnd"/>
      <w:r>
        <w:rPr>
          <w:rFonts w:eastAsia="Calibri" w:cstheme="minorHAnsi"/>
          <w:bCs/>
          <w:kern w:val="36"/>
          <w:sz w:val="22"/>
          <w:szCs w:val="22"/>
        </w:rPr>
        <w:t xml:space="preserve"> out in </w:t>
      </w:r>
      <w:proofErr w:type="spellStart"/>
      <w:r>
        <w:rPr>
          <w:rFonts w:eastAsia="Calibri" w:cstheme="minorHAnsi"/>
          <w:bCs/>
          <w:kern w:val="36"/>
          <w:sz w:val="22"/>
          <w:szCs w:val="22"/>
        </w:rPr>
        <w:t>writing</w:t>
      </w:r>
      <w:proofErr w:type="spellEnd"/>
      <w:r>
        <w:rPr>
          <w:rFonts w:eastAsia="Calibri" w:cstheme="minorHAnsi"/>
          <w:bCs/>
          <w:kern w:val="36"/>
          <w:sz w:val="22"/>
          <w:szCs w:val="22"/>
        </w:rPr>
        <w:t xml:space="preserve"> </w:t>
      </w:r>
      <w:proofErr w:type="spellStart"/>
      <w:r>
        <w:rPr>
          <w:rFonts w:eastAsia="Calibri" w:cstheme="minorHAnsi"/>
          <w:bCs/>
          <w:kern w:val="36"/>
          <w:sz w:val="22"/>
          <w:szCs w:val="22"/>
        </w:rPr>
        <w:t>from</w:t>
      </w:r>
      <w:proofErr w:type="spellEnd"/>
      <w:r>
        <w:rPr>
          <w:rFonts w:eastAsia="Calibri" w:cstheme="minorHAnsi"/>
          <w:bCs/>
          <w:kern w:val="36"/>
          <w:sz w:val="22"/>
          <w:szCs w:val="22"/>
        </w:rPr>
        <w:t xml:space="preserve"> </w:t>
      </w:r>
      <w:proofErr w:type="spellStart"/>
      <w:r>
        <w:rPr>
          <w:rFonts w:eastAsia="Calibri" w:cstheme="minorHAnsi"/>
          <w:bCs/>
          <w:kern w:val="36"/>
          <w:sz w:val="22"/>
          <w:szCs w:val="22"/>
        </w:rPr>
        <w:t>their</w:t>
      </w:r>
      <w:proofErr w:type="spellEnd"/>
      <w:r>
        <w:rPr>
          <w:rFonts w:eastAsia="Calibri" w:cstheme="minorHAnsi"/>
          <w:bCs/>
          <w:kern w:val="36"/>
          <w:sz w:val="22"/>
          <w:szCs w:val="22"/>
        </w:rPr>
        <w:t xml:space="preserve"> article </w:t>
      </w:r>
      <w:proofErr w:type="spellStart"/>
      <w:r>
        <w:rPr>
          <w:rFonts w:eastAsia="Calibri" w:cstheme="minorHAnsi"/>
          <w:bCs/>
          <w:kern w:val="36"/>
          <w:sz w:val="22"/>
          <w:szCs w:val="22"/>
        </w:rPr>
        <w:t>being</w:t>
      </w:r>
      <w:proofErr w:type="spellEnd"/>
      <w:r>
        <w:rPr>
          <w:rFonts w:eastAsia="Calibri" w:cstheme="minorHAnsi"/>
          <w:bCs/>
          <w:kern w:val="36"/>
          <w:sz w:val="22"/>
          <w:szCs w:val="22"/>
        </w:rPr>
        <w:t xml:space="preserve"> </w:t>
      </w:r>
      <w:proofErr w:type="spellStart"/>
      <w:r>
        <w:rPr>
          <w:rFonts w:eastAsia="Calibri" w:cstheme="minorHAnsi"/>
          <w:bCs/>
          <w:kern w:val="36"/>
          <w:sz w:val="22"/>
          <w:szCs w:val="22"/>
        </w:rPr>
        <w:t>included</w:t>
      </w:r>
      <w:proofErr w:type="spellEnd"/>
      <w:r>
        <w:rPr>
          <w:rFonts w:eastAsia="Calibri" w:cstheme="minorHAnsi"/>
          <w:bCs/>
          <w:kern w:val="36"/>
          <w:sz w:val="22"/>
          <w:szCs w:val="22"/>
        </w:rPr>
        <w:t xml:space="preserve"> </w:t>
      </w:r>
      <w:proofErr w:type="spellStart"/>
      <w:r>
        <w:rPr>
          <w:rFonts w:eastAsia="Calibri" w:cstheme="minorHAnsi"/>
          <w:bCs/>
          <w:kern w:val="36"/>
          <w:sz w:val="22"/>
          <w:szCs w:val="22"/>
        </w:rPr>
        <w:t>under</w:t>
      </w:r>
      <w:proofErr w:type="spellEnd"/>
      <w:r>
        <w:rPr>
          <w:rFonts w:eastAsia="Calibri" w:cstheme="minorHAnsi"/>
          <w:bCs/>
          <w:kern w:val="36"/>
          <w:sz w:val="22"/>
          <w:szCs w:val="22"/>
        </w:rPr>
        <w:t xml:space="preserve"> the Licence </w:t>
      </w:r>
      <w:proofErr w:type="spellStart"/>
      <w:r>
        <w:rPr>
          <w:rFonts w:eastAsia="Calibri" w:cstheme="minorHAnsi"/>
          <w:bCs/>
          <w:kern w:val="36"/>
          <w:sz w:val="22"/>
          <w:szCs w:val="22"/>
        </w:rPr>
        <w:t>within</w:t>
      </w:r>
      <w:proofErr w:type="spellEnd"/>
      <w:r>
        <w:rPr>
          <w:rFonts w:eastAsia="Calibri" w:cstheme="minorHAnsi"/>
          <w:bCs/>
          <w:kern w:val="36"/>
          <w:sz w:val="22"/>
          <w:szCs w:val="22"/>
        </w:rPr>
        <w:t xml:space="preserve"> five (“5”) </w:t>
      </w:r>
      <w:proofErr w:type="spellStart"/>
      <w:r>
        <w:rPr>
          <w:rFonts w:eastAsia="Calibri" w:cstheme="minorHAnsi"/>
          <w:bCs/>
          <w:kern w:val="36"/>
          <w:sz w:val="22"/>
          <w:szCs w:val="22"/>
        </w:rPr>
        <w:t>days</w:t>
      </w:r>
      <w:proofErr w:type="spellEnd"/>
      <w:r>
        <w:rPr>
          <w:rFonts w:eastAsia="Calibri" w:cstheme="minorHAnsi"/>
          <w:bCs/>
          <w:kern w:val="36"/>
          <w:sz w:val="22"/>
          <w:szCs w:val="22"/>
        </w:rPr>
        <w:t xml:space="preserve"> of </w:t>
      </w:r>
      <w:proofErr w:type="spellStart"/>
      <w:r>
        <w:rPr>
          <w:rFonts w:eastAsia="Calibri" w:cstheme="minorHAnsi"/>
          <w:bCs/>
          <w:kern w:val="36"/>
          <w:sz w:val="22"/>
          <w:szCs w:val="22"/>
        </w:rPr>
        <w:t>being</w:t>
      </w:r>
      <w:proofErr w:type="spellEnd"/>
      <w:r>
        <w:rPr>
          <w:rFonts w:eastAsia="Calibri" w:cstheme="minorHAnsi"/>
          <w:bCs/>
          <w:kern w:val="36"/>
          <w:sz w:val="22"/>
          <w:szCs w:val="22"/>
        </w:rPr>
        <w:t xml:space="preserve"> </w:t>
      </w:r>
      <w:proofErr w:type="spellStart"/>
      <w:r>
        <w:rPr>
          <w:rFonts w:eastAsia="Calibri" w:cstheme="minorHAnsi"/>
          <w:bCs/>
          <w:kern w:val="36"/>
          <w:sz w:val="22"/>
          <w:szCs w:val="22"/>
        </w:rPr>
        <w:t>notified</w:t>
      </w:r>
      <w:proofErr w:type="spellEnd"/>
      <w:r>
        <w:rPr>
          <w:rFonts w:eastAsia="Calibri" w:cstheme="minorHAnsi"/>
          <w:bCs/>
          <w:kern w:val="36"/>
          <w:sz w:val="22"/>
          <w:szCs w:val="22"/>
        </w:rPr>
        <w:t xml:space="preserve"> of possible </w:t>
      </w:r>
      <w:proofErr w:type="spellStart"/>
      <w:proofErr w:type="gramStart"/>
      <w:r>
        <w:rPr>
          <w:rFonts w:eastAsia="Calibri" w:cstheme="minorHAnsi"/>
          <w:bCs/>
          <w:kern w:val="36"/>
          <w:sz w:val="22"/>
          <w:szCs w:val="22"/>
        </w:rPr>
        <w:t>eligibility</w:t>
      </w:r>
      <w:proofErr w:type="spellEnd"/>
      <w:r>
        <w:rPr>
          <w:rFonts w:eastAsia="Calibri" w:cstheme="minorHAnsi"/>
          <w:bCs/>
          <w:kern w:val="36"/>
          <w:sz w:val="22"/>
          <w:szCs w:val="22"/>
        </w:rPr>
        <w:t>;</w:t>
      </w:r>
      <w:proofErr w:type="gramEnd"/>
      <w:r>
        <w:rPr>
          <w:rFonts w:eastAsia="Calibri" w:cstheme="minorHAnsi"/>
          <w:bCs/>
          <w:kern w:val="36"/>
          <w:sz w:val="22"/>
          <w:szCs w:val="22"/>
        </w:rPr>
        <w:tab/>
      </w:r>
      <w:r>
        <w:rPr>
          <w:rFonts w:eastAsia="Calibri" w:cstheme="minorHAnsi"/>
          <w:bCs/>
          <w:kern w:val="36"/>
          <w:sz w:val="22"/>
          <w:szCs w:val="22"/>
        </w:rPr>
        <w:br/>
      </w:r>
      <w:r>
        <w:rPr>
          <w:rFonts w:eastAsia="Calibri" w:cstheme="minorHAnsi"/>
          <w:bCs/>
          <w:kern w:val="36"/>
          <w:sz w:val="22"/>
          <w:szCs w:val="22"/>
        </w:rPr>
        <w:br/>
        <w:t>L’Auteur correspondant peut refuser par écrit que son article soit inclus dans la Licence dans un délai de cinq (« 5 ») jours après avoir été informé d’une éventuelle éligibilité ;</w:t>
      </w:r>
    </w:p>
    <w:p>
      <w:pPr>
        <w:keepLines/>
        <w:numPr>
          <w:ilvl w:val="0"/>
          <w:numId w:val="17"/>
        </w:numPr>
        <w:spacing w:after="240"/>
        <w:ind w:left="993" w:hanging="273"/>
        <w:jc w:val="both"/>
        <w:outlineLvl w:val="0"/>
        <w:rPr>
          <w:rFonts w:eastAsia="Calibri" w:cstheme="minorHAnsi"/>
          <w:kern w:val="36"/>
          <w:sz w:val="22"/>
          <w:szCs w:val="22"/>
        </w:rPr>
      </w:pPr>
      <w:proofErr w:type="spellStart"/>
      <w:r>
        <w:rPr>
          <w:rFonts w:eastAsia="Calibri" w:cstheme="minorHAnsi"/>
          <w:bCs/>
          <w:kern w:val="36"/>
          <w:sz w:val="22"/>
          <w:szCs w:val="22"/>
        </w:rPr>
        <w:t>Where</w:t>
      </w:r>
      <w:proofErr w:type="spellEnd"/>
      <w:r>
        <w:rPr>
          <w:rFonts w:eastAsia="Calibri" w:cstheme="minorHAnsi"/>
          <w:bCs/>
          <w:kern w:val="36"/>
          <w:sz w:val="22"/>
          <w:szCs w:val="22"/>
        </w:rPr>
        <w:t xml:space="preserve"> a </w:t>
      </w:r>
      <w:proofErr w:type="spellStart"/>
      <w:r>
        <w:rPr>
          <w:rFonts w:eastAsia="Calibri" w:cstheme="minorHAnsi"/>
          <w:bCs/>
          <w:kern w:val="36"/>
          <w:sz w:val="22"/>
          <w:szCs w:val="22"/>
        </w:rPr>
        <w:t>potentially</w:t>
      </w:r>
      <w:proofErr w:type="spellEnd"/>
      <w:r>
        <w:rPr>
          <w:rFonts w:eastAsia="Calibri" w:cstheme="minorHAnsi"/>
          <w:bCs/>
          <w:kern w:val="36"/>
          <w:sz w:val="22"/>
          <w:szCs w:val="22"/>
        </w:rPr>
        <w:t xml:space="preserve"> Eligible Article </w:t>
      </w:r>
      <w:proofErr w:type="spellStart"/>
      <w:r>
        <w:rPr>
          <w:rFonts w:eastAsia="Calibri" w:cstheme="minorHAnsi"/>
          <w:bCs/>
          <w:kern w:val="36"/>
          <w:sz w:val="22"/>
          <w:szCs w:val="22"/>
        </w:rPr>
        <w:t>is</w:t>
      </w:r>
      <w:proofErr w:type="spellEnd"/>
      <w:r>
        <w:rPr>
          <w:rFonts w:eastAsia="Calibri" w:cstheme="minorHAnsi"/>
          <w:bCs/>
          <w:kern w:val="36"/>
          <w:sz w:val="22"/>
          <w:szCs w:val="22"/>
        </w:rPr>
        <w:t xml:space="preserve"> </w:t>
      </w:r>
      <w:proofErr w:type="spellStart"/>
      <w:r>
        <w:rPr>
          <w:rFonts w:eastAsia="Calibri" w:cstheme="minorHAnsi"/>
          <w:bCs/>
          <w:kern w:val="36"/>
          <w:sz w:val="22"/>
          <w:szCs w:val="22"/>
        </w:rPr>
        <w:t>identified</w:t>
      </w:r>
      <w:proofErr w:type="spellEnd"/>
      <w:r>
        <w:rPr>
          <w:rFonts w:eastAsia="Calibri" w:cstheme="minorHAnsi"/>
          <w:bCs/>
          <w:kern w:val="36"/>
          <w:sz w:val="22"/>
          <w:szCs w:val="22"/>
        </w:rPr>
        <w:t xml:space="preserve">, the article </w:t>
      </w:r>
      <w:proofErr w:type="spellStart"/>
      <w:r>
        <w:rPr>
          <w:rFonts w:eastAsia="Calibri" w:cstheme="minorHAnsi"/>
          <w:bCs/>
          <w:kern w:val="36"/>
          <w:sz w:val="22"/>
          <w:szCs w:val="22"/>
        </w:rPr>
        <w:t>will</w:t>
      </w:r>
      <w:proofErr w:type="spellEnd"/>
      <w:r>
        <w:rPr>
          <w:rFonts w:eastAsia="Calibri" w:cstheme="minorHAnsi"/>
          <w:bCs/>
          <w:kern w:val="36"/>
          <w:sz w:val="22"/>
          <w:szCs w:val="22"/>
        </w:rPr>
        <w:t xml:space="preserve"> </w:t>
      </w:r>
      <w:proofErr w:type="spellStart"/>
      <w:r>
        <w:rPr>
          <w:rFonts w:eastAsia="Calibri" w:cstheme="minorHAnsi"/>
          <w:bCs/>
          <w:kern w:val="36"/>
          <w:sz w:val="22"/>
          <w:szCs w:val="22"/>
        </w:rPr>
        <w:t>be</w:t>
      </w:r>
      <w:proofErr w:type="spellEnd"/>
      <w:r>
        <w:rPr>
          <w:rFonts w:eastAsia="Calibri" w:cstheme="minorHAnsi"/>
          <w:bCs/>
          <w:kern w:val="36"/>
          <w:sz w:val="22"/>
          <w:szCs w:val="22"/>
        </w:rPr>
        <w:t xml:space="preserve"> </w:t>
      </w:r>
      <w:proofErr w:type="spellStart"/>
      <w:r>
        <w:rPr>
          <w:rFonts w:eastAsia="Calibri" w:cstheme="minorHAnsi"/>
          <w:bCs/>
          <w:kern w:val="36"/>
          <w:sz w:val="22"/>
          <w:szCs w:val="22"/>
        </w:rPr>
        <w:t>published</w:t>
      </w:r>
      <w:proofErr w:type="spellEnd"/>
      <w:r>
        <w:rPr>
          <w:rFonts w:eastAsia="Calibri" w:cstheme="minorHAnsi"/>
          <w:bCs/>
          <w:kern w:val="36"/>
          <w:sz w:val="22"/>
          <w:szCs w:val="22"/>
        </w:rPr>
        <w:t xml:space="preserve"> as an open </w:t>
      </w:r>
      <w:proofErr w:type="spellStart"/>
      <w:r>
        <w:rPr>
          <w:rFonts w:eastAsia="Calibri" w:cstheme="minorHAnsi"/>
          <w:bCs/>
          <w:kern w:val="36"/>
          <w:sz w:val="22"/>
          <w:szCs w:val="22"/>
        </w:rPr>
        <w:t>access</w:t>
      </w:r>
      <w:proofErr w:type="spellEnd"/>
      <w:r>
        <w:rPr>
          <w:rFonts w:eastAsia="Calibri" w:cstheme="minorHAnsi"/>
          <w:bCs/>
          <w:kern w:val="36"/>
          <w:sz w:val="22"/>
          <w:szCs w:val="22"/>
        </w:rPr>
        <w:t xml:space="preserve"> publication </w:t>
      </w:r>
      <w:proofErr w:type="spellStart"/>
      <w:r>
        <w:rPr>
          <w:rFonts w:eastAsia="Calibri" w:cstheme="minorHAnsi"/>
          <w:bCs/>
          <w:kern w:val="36"/>
          <w:sz w:val="22"/>
          <w:szCs w:val="22"/>
        </w:rPr>
        <w:t>unless</w:t>
      </w:r>
      <w:proofErr w:type="spellEnd"/>
      <w:r>
        <w:rPr>
          <w:rFonts w:eastAsia="Calibri" w:cstheme="minorHAnsi"/>
          <w:bCs/>
          <w:kern w:val="36"/>
          <w:sz w:val="22"/>
          <w:szCs w:val="22"/>
        </w:rPr>
        <w:t xml:space="preserve"> the </w:t>
      </w:r>
      <w:proofErr w:type="spellStart"/>
      <w:r>
        <w:rPr>
          <w:rFonts w:eastAsia="Calibri" w:cstheme="minorHAnsi"/>
          <w:bCs/>
          <w:kern w:val="36"/>
          <w:sz w:val="22"/>
          <w:szCs w:val="22"/>
        </w:rPr>
        <w:t>Corresponding</w:t>
      </w:r>
      <w:proofErr w:type="spellEnd"/>
      <w:r>
        <w:rPr>
          <w:rFonts w:eastAsia="Calibri" w:cstheme="minorHAnsi"/>
          <w:bCs/>
          <w:kern w:val="36"/>
          <w:sz w:val="22"/>
          <w:szCs w:val="22"/>
        </w:rPr>
        <w:t xml:space="preserve"> </w:t>
      </w:r>
      <w:proofErr w:type="spellStart"/>
      <w:r>
        <w:rPr>
          <w:rFonts w:eastAsia="Calibri" w:cstheme="minorHAnsi"/>
          <w:bCs/>
          <w:kern w:val="36"/>
          <w:sz w:val="22"/>
          <w:szCs w:val="22"/>
        </w:rPr>
        <w:t>Author</w:t>
      </w:r>
      <w:proofErr w:type="spellEnd"/>
      <w:r>
        <w:rPr>
          <w:rFonts w:eastAsia="Calibri" w:cstheme="minorHAnsi"/>
          <w:bCs/>
          <w:kern w:val="36"/>
          <w:sz w:val="22"/>
          <w:szCs w:val="22"/>
        </w:rPr>
        <w:t xml:space="preserve"> </w:t>
      </w:r>
      <w:proofErr w:type="spellStart"/>
      <w:r>
        <w:rPr>
          <w:rFonts w:eastAsia="Calibri" w:cstheme="minorHAnsi"/>
          <w:bCs/>
          <w:kern w:val="36"/>
          <w:sz w:val="22"/>
          <w:szCs w:val="22"/>
        </w:rPr>
        <w:t>opts</w:t>
      </w:r>
      <w:proofErr w:type="spellEnd"/>
      <w:r>
        <w:rPr>
          <w:rFonts w:eastAsia="Calibri" w:cstheme="minorHAnsi"/>
          <w:bCs/>
          <w:kern w:val="36"/>
          <w:sz w:val="22"/>
          <w:szCs w:val="22"/>
        </w:rPr>
        <w:t xml:space="preserve"> out </w:t>
      </w:r>
      <w:proofErr w:type="spellStart"/>
      <w:r>
        <w:rPr>
          <w:rFonts w:eastAsia="Calibri" w:cstheme="minorHAnsi"/>
          <w:bCs/>
          <w:kern w:val="36"/>
          <w:sz w:val="22"/>
          <w:szCs w:val="22"/>
        </w:rPr>
        <w:t>within</w:t>
      </w:r>
      <w:proofErr w:type="spellEnd"/>
      <w:r>
        <w:rPr>
          <w:rFonts w:eastAsia="Calibri" w:cstheme="minorHAnsi"/>
          <w:bCs/>
          <w:kern w:val="36"/>
          <w:sz w:val="22"/>
          <w:szCs w:val="22"/>
        </w:rPr>
        <w:t xml:space="preserve"> five (“5”) </w:t>
      </w:r>
      <w:proofErr w:type="spellStart"/>
      <w:r>
        <w:rPr>
          <w:rFonts w:eastAsia="Calibri" w:cstheme="minorHAnsi"/>
          <w:bCs/>
          <w:kern w:val="36"/>
          <w:sz w:val="22"/>
          <w:szCs w:val="22"/>
        </w:rPr>
        <w:t>days</w:t>
      </w:r>
      <w:proofErr w:type="spellEnd"/>
      <w:r>
        <w:rPr>
          <w:rFonts w:eastAsia="Calibri" w:cstheme="minorHAnsi"/>
          <w:bCs/>
          <w:kern w:val="36"/>
          <w:sz w:val="22"/>
          <w:szCs w:val="22"/>
        </w:rPr>
        <w:t xml:space="preserve"> of </w:t>
      </w:r>
      <w:proofErr w:type="gramStart"/>
      <w:r>
        <w:rPr>
          <w:rFonts w:eastAsia="Calibri" w:cstheme="minorHAnsi"/>
          <w:bCs/>
          <w:kern w:val="36"/>
          <w:sz w:val="22"/>
          <w:szCs w:val="22"/>
        </w:rPr>
        <w:t>notification;</w:t>
      </w:r>
      <w:proofErr w:type="gramEnd"/>
      <w:r>
        <w:rPr>
          <w:rFonts w:eastAsia="Calibri" w:cstheme="minorHAnsi"/>
          <w:bCs/>
          <w:kern w:val="36"/>
          <w:sz w:val="22"/>
          <w:szCs w:val="22"/>
        </w:rPr>
        <w:tab/>
      </w:r>
      <w:r>
        <w:rPr>
          <w:rFonts w:eastAsia="Calibri" w:cstheme="minorHAnsi"/>
          <w:bCs/>
          <w:kern w:val="36"/>
          <w:sz w:val="22"/>
          <w:szCs w:val="22"/>
        </w:rPr>
        <w:br/>
      </w:r>
      <w:r>
        <w:rPr>
          <w:rFonts w:eastAsia="Calibri" w:cstheme="minorHAnsi"/>
          <w:bCs/>
          <w:kern w:val="36"/>
          <w:sz w:val="22"/>
          <w:szCs w:val="22"/>
        </w:rPr>
        <w:br/>
      </w:r>
      <w:r>
        <w:rPr>
          <w:rFonts w:eastAsia="Calibri" w:cstheme="minorHAnsi"/>
          <w:kern w:val="36"/>
          <w:sz w:val="22"/>
          <w:szCs w:val="22"/>
        </w:rPr>
        <w:t>Lorsqu’un article potentiellement éligible est identifié, l’article sera publié en accès libre, à moins que l’Auteur correspondant ne choisisse le retrait dans les cinq (« 5 ») jours suivant la notification ;</w:t>
      </w:r>
      <w:r>
        <w:rPr>
          <w:rFonts w:eastAsia="Calibri" w:cstheme="minorHAnsi"/>
          <w:kern w:val="36"/>
          <w:sz w:val="22"/>
          <w:szCs w:val="22"/>
        </w:rPr>
        <w:tab/>
      </w:r>
      <w:r>
        <w:rPr>
          <w:rFonts w:eastAsia="Calibri" w:cstheme="minorHAnsi"/>
          <w:kern w:val="36"/>
          <w:sz w:val="22"/>
          <w:szCs w:val="22"/>
          <w:highlight w:val="yellow"/>
        </w:rPr>
        <w:t xml:space="preserve"> </w:t>
      </w:r>
    </w:p>
    <w:p>
      <w:pPr>
        <w:keepLines/>
        <w:numPr>
          <w:ilvl w:val="0"/>
          <w:numId w:val="17"/>
        </w:numPr>
        <w:spacing w:after="240"/>
        <w:ind w:left="993" w:hanging="273"/>
        <w:jc w:val="both"/>
        <w:outlineLvl w:val="0"/>
        <w:rPr>
          <w:rFonts w:eastAsia="Calibri" w:cstheme="minorHAnsi"/>
          <w:kern w:val="36"/>
          <w:sz w:val="22"/>
          <w:szCs w:val="22"/>
        </w:rPr>
      </w:pPr>
      <w:r>
        <w:rPr>
          <w:rFonts w:eastAsia="Calibri" w:cstheme="minorHAnsi"/>
          <w:kern w:val="36"/>
          <w:sz w:val="22"/>
          <w:szCs w:val="22"/>
        </w:rPr>
        <w:t xml:space="preserve">If an article </w:t>
      </w:r>
      <w:proofErr w:type="spellStart"/>
      <w:r>
        <w:rPr>
          <w:rFonts w:eastAsia="Calibri" w:cstheme="minorHAnsi"/>
          <w:kern w:val="36"/>
          <w:sz w:val="22"/>
          <w:szCs w:val="22"/>
        </w:rPr>
        <w:t>is</w:t>
      </w:r>
      <w:proofErr w:type="spellEnd"/>
      <w:r>
        <w:rPr>
          <w:rFonts w:eastAsia="Calibri" w:cstheme="minorHAnsi"/>
          <w:kern w:val="36"/>
          <w:sz w:val="22"/>
          <w:szCs w:val="22"/>
        </w:rPr>
        <w:t xml:space="preserve"> </w:t>
      </w:r>
      <w:proofErr w:type="spellStart"/>
      <w:r>
        <w:rPr>
          <w:rFonts w:eastAsia="Calibri" w:cstheme="minorHAnsi"/>
          <w:kern w:val="36"/>
          <w:sz w:val="22"/>
          <w:szCs w:val="22"/>
        </w:rPr>
        <w:t>published</w:t>
      </w:r>
      <w:proofErr w:type="spellEnd"/>
      <w:r>
        <w:rPr>
          <w:rFonts w:eastAsia="Calibri" w:cstheme="minorHAnsi"/>
          <w:kern w:val="36"/>
          <w:sz w:val="22"/>
          <w:szCs w:val="22"/>
        </w:rPr>
        <w:t xml:space="preserve"> on a </w:t>
      </w:r>
      <w:proofErr w:type="spellStart"/>
      <w:r>
        <w:rPr>
          <w:rFonts w:eastAsia="Calibri" w:cstheme="minorHAnsi"/>
          <w:kern w:val="36"/>
          <w:sz w:val="22"/>
          <w:szCs w:val="22"/>
        </w:rPr>
        <w:t>subscription</w:t>
      </w:r>
      <w:proofErr w:type="spellEnd"/>
      <w:r>
        <w:rPr>
          <w:rFonts w:eastAsia="Calibri" w:cstheme="minorHAnsi"/>
          <w:kern w:val="36"/>
          <w:sz w:val="22"/>
          <w:szCs w:val="22"/>
        </w:rPr>
        <w:t xml:space="preserve"> basis, but </w:t>
      </w:r>
      <w:proofErr w:type="spellStart"/>
      <w:r>
        <w:rPr>
          <w:rFonts w:eastAsia="Calibri" w:cstheme="minorHAnsi"/>
          <w:kern w:val="36"/>
          <w:sz w:val="22"/>
          <w:szCs w:val="22"/>
        </w:rPr>
        <w:t>is</w:t>
      </w:r>
      <w:proofErr w:type="spellEnd"/>
      <w:r>
        <w:rPr>
          <w:rFonts w:eastAsia="Calibri" w:cstheme="minorHAnsi"/>
          <w:kern w:val="36"/>
          <w:sz w:val="22"/>
          <w:szCs w:val="22"/>
        </w:rPr>
        <w:t xml:space="preserve"> </w:t>
      </w:r>
      <w:proofErr w:type="spellStart"/>
      <w:r>
        <w:rPr>
          <w:rFonts w:eastAsia="Calibri" w:cstheme="minorHAnsi"/>
          <w:kern w:val="36"/>
          <w:sz w:val="22"/>
          <w:szCs w:val="22"/>
        </w:rPr>
        <w:t>identified</w:t>
      </w:r>
      <w:proofErr w:type="spellEnd"/>
      <w:r>
        <w:rPr>
          <w:rFonts w:eastAsia="Calibri" w:cstheme="minorHAnsi"/>
          <w:kern w:val="36"/>
          <w:sz w:val="22"/>
          <w:szCs w:val="22"/>
        </w:rPr>
        <w:t xml:space="preserve"> </w:t>
      </w:r>
      <w:proofErr w:type="spellStart"/>
      <w:r>
        <w:rPr>
          <w:rFonts w:eastAsia="Calibri" w:cstheme="minorHAnsi"/>
          <w:kern w:val="36"/>
          <w:sz w:val="22"/>
          <w:szCs w:val="22"/>
        </w:rPr>
        <w:t>subsequently</w:t>
      </w:r>
      <w:proofErr w:type="spellEnd"/>
      <w:r>
        <w:rPr>
          <w:rFonts w:eastAsia="Calibri" w:cstheme="minorHAnsi"/>
          <w:kern w:val="36"/>
          <w:sz w:val="22"/>
          <w:szCs w:val="22"/>
        </w:rPr>
        <w:t xml:space="preserve"> as an Eligible Article, </w:t>
      </w:r>
      <w:proofErr w:type="spellStart"/>
      <w:r>
        <w:rPr>
          <w:rFonts w:eastAsia="Calibri" w:cstheme="minorHAnsi"/>
          <w:kern w:val="36"/>
          <w:sz w:val="22"/>
          <w:szCs w:val="22"/>
        </w:rPr>
        <w:t>then</w:t>
      </w:r>
      <w:proofErr w:type="spellEnd"/>
      <w:r>
        <w:rPr>
          <w:rFonts w:eastAsia="Calibri" w:cstheme="minorHAnsi"/>
          <w:kern w:val="36"/>
          <w:sz w:val="22"/>
          <w:szCs w:val="22"/>
        </w:rPr>
        <w:t xml:space="preserve"> IOP and/or </w:t>
      </w:r>
      <w:proofErr w:type="spellStart"/>
      <w:r>
        <w:rPr>
          <w:rFonts w:eastAsia="Calibri" w:cstheme="minorHAnsi"/>
          <w:kern w:val="36"/>
          <w:sz w:val="22"/>
          <w:szCs w:val="22"/>
        </w:rPr>
        <w:t>its</w:t>
      </w:r>
      <w:proofErr w:type="spellEnd"/>
      <w:r>
        <w:rPr>
          <w:rFonts w:eastAsia="Calibri" w:cstheme="minorHAnsi"/>
          <w:kern w:val="36"/>
          <w:sz w:val="22"/>
          <w:szCs w:val="22"/>
        </w:rPr>
        <w:t xml:space="preserve"> respective </w:t>
      </w:r>
      <w:proofErr w:type="spellStart"/>
      <w:r>
        <w:rPr>
          <w:rFonts w:eastAsia="Calibri" w:cstheme="minorHAnsi"/>
          <w:kern w:val="36"/>
          <w:sz w:val="22"/>
          <w:szCs w:val="22"/>
        </w:rPr>
        <w:t>partners</w:t>
      </w:r>
      <w:proofErr w:type="spellEnd"/>
      <w:r>
        <w:rPr>
          <w:rFonts w:eastAsia="Calibri" w:cstheme="minorHAnsi"/>
          <w:kern w:val="36"/>
          <w:sz w:val="22"/>
          <w:szCs w:val="22"/>
        </w:rPr>
        <w:t xml:space="preserve"> (as applicable) </w:t>
      </w:r>
      <w:proofErr w:type="spellStart"/>
      <w:r>
        <w:rPr>
          <w:rFonts w:eastAsia="Calibri" w:cstheme="minorHAnsi"/>
          <w:kern w:val="36"/>
          <w:sz w:val="22"/>
          <w:szCs w:val="22"/>
        </w:rPr>
        <w:t>shall</w:t>
      </w:r>
      <w:proofErr w:type="spellEnd"/>
      <w:r>
        <w:rPr>
          <w:rFonts w:eastAsia="Calibri" w:cstheme="minorHAnsi"/>
          <w:kern w:val="36"/>
          <w:sz w:val="22"/>
          <w:szCs w:val="22"/>
        </w:rPr>
        <w:t xml:space="preserve"> </w:t>
      </w:r>
      <w:proofErr w:type="spellStart"/>
      <w:r>
        <w:rPr>
          <w:rFonts w:eastAsia="Calibri" w:cstheme="minorHAnsi"/>
          <w:kern w:val="36"/>
          <w:sz w:val="22"/>
          <w:szCs w:val="22"/>
        </w:rPr>
        <w:t>be</w:t>
      </w:r>
      <w:proofErr w:type="spellEnd"/>
      <w:r>
        <w:rPr>
          <w:rFonts w:eastAsia="Calibri" w:cstheme="minorHAnsi"/>
          <w:kern w:val="36"/>
          <w:sz w:val="22"/>
          <w:szCs w:val="22"/>
        </w:rPr>
        <w:t xml:space="preserve"> </w:t>
      </w:r>
      <w:proofErr w:type="spellStart"/>
      <w:r>
        <w:rPr>
          <w:rFonts w:eastAsia="Calibri" w:cstheme="minorHAnsi"/>
          <w:kern w:val="36"/>
          <w:sz w:val="22"/>
          <w:szCs w:val="22"/>
        </w:rPr>
        <w:t>under</w:t>
      </w:r>
      <w:proofErr w:type="spellEnd"/>
      <w:r>
        <w:rPr>
          <w:rFonts w:eastAsia="Calibri" w:cstheme="minorHAnsi"/>
          <w:kern w:val="36"/>
          <w:sz w:val="22"/>
          <w:szCs w:val="22"/>
        </w:rPr>
        <w:t xml:space="preserve"> no obligation to change </w:t>
      </w:r>
      <w:proofErr w:type="spellStart"/>
      <w:r>
        <w:rPr>
          <w:rFonts w:eastAsia="Calibri" w:cstheme="minorHAnsi"/>
          <w:kern w:val="36"/>
          <w:sz w:val="22"/>
          <w:szCs w:val="22"/>
        </w:rPr>
        <w:t>its</w:t>
      </w:r>
      <w:proofErr w:type="spellEnd"/>
      <w:r>
        <w:rPr>
          <w:rFonts w:eastAsia="Calibri" w:cstheme="minorHAnsi"/>
          <w:kern w:val="36"/>
          <w:sz w:val="22"/>
          <w:szCs w:val="22"/>
        </w:rPr>
        <w:t xml:space="preserve"> </w:t>
      </w:r>
      <w:proofErr w:type="spellStart"/>
      <w:r>
        <w:rPr>
          <w:rFonts w:eastAsia="Calibri" w:cstheme="minorHAnsi"/>
          <w:kern w:val="36"/>
          <w:sz w:val="22"/>
          <w:szCs w:val="22"/>
        </w:rPr>
        <w:t>status</w:t>
      </w:r>
      <w:proofErr w:type="spellEnd"/>
      <w:r>
        <w:rPr>
          <w:rFonts w:eastAsia="Calibri" w:cstheme="minorHAnsi"/>
          <w:kern w:val="36"/>
          <w:sz w:val="22"/>
          <w:szCs w:val="22"/>
        </w:rPr>
        <w:t xml:space="preserve"> </w:t>
      </w:r>
      <w:proofErr w:type="spellStart"/>
      <w:proofErr w:type="gramStart"/>
      <w:r>
        <w:rPr>
          <w:rFonts w:eastAsia="Calibri" w:cstheme="minorHAnsi"/>
          <w:kern w:val="36"/>
          <w:sz w:val="22"/>
          <w:szCs w:val="22"/>
        </w:rPr>
        <w:t>retrospectively</w:t>
      </w:r>
      <w:proofErr w:type="spellEnd"/>
      <w:r>
        <w:rPr>
          <w:rFonts w:eastAsia="Calibri" w:cstheme="minorHAnsi"/>
          <w:bCs/>
          <w:kern w:val="36"/>
          <w:sz w:val="22"/>
          <w:szCs w:val="22"/>
        </w:rPr>
        <w:t>;</w:t>
      </w:r>
      <w:proofErr w:type="gramEnd"/>
      <w:r>
        <w:rPr>
          <w:rFonts w:eastAsia="Calibri" w:cstheme="minorHAnsi"/>
          <w:bCs/>
          <w:kern w:val="36"/>
          <w:sz w:val="22"/>
          <w:szCs w:val="22"/>
        </w:rPr>
        <w:tab/>
      </w:r>
      <w:r>
        <w:rPr>
          <w:rFonts w:eastAsia="Calibri" w:cstheme="minorHAnsi"/>
          <w:bCs/>
          <w:kern w:val="36"/>
          <w:sz w:val="22"/>
          <w:szCs w:val="22"/>
        </w:rPr>
        <w:br/>
      </w:r>
      <w:r>
        <w:rPr>
          <w:rFonts w:eastAsia="Calibri" w:cstheme="minorHAnsi"/>
          <w:bCs/>
          <w:kern w:val="36"/>
          <w:sz w:val="22"/>
          <w:szCs w:val="22"/>
        </w:rPr>
        <w:br/>
      </w:r>
      <w:r>
        <w:rPr>
          <w:rFonts w:eastAsia="Calibri" w:cstheme="minorHAnsi"/>
          <w:kern w:val="36"/>
          <w:sz w:val="22"/>
          <w:szCs w:val="22"/>
        </w:rPr>
        <w:t>Si un article est publié sur la base d’un abonnement, mais qu’il est identifié par la suite comme un article éligible, IOP et/ou ses partenaires respectifs (le cas échéant) ne sont pas tenus de modifier son statut rétroactivement ;</w:t>
      </w:r>
      <w:r>
        <w:rPr>
          <w:rFonts w:eastAsia="Calibri" w:cstheme="minorHAnsi"/>
          <w:kern w:val="36"/>
          <w:sz w:val="22"/>
          <w:szCs w:val="22"/>
          <w:highlight w:val="yellow"/>
        </w:rPr>
        <w:t xml:space="preserve"> </w:t>
      </w:r>
    </w:p>
    <w:p>
      <w:pPr>
        <w:keepLines/>
        <w:numPr>
          <w:ilvl w:val="0"/>
          <w:numId w:val="17"/>
        </w:numPr>
        <w:spacing w:after="240"/>
        <w:ind w:left="993" w:hanging="273"/>
        <w:jc w:val="both"/>
        <w:outlineLvl w:val="0"/>
        <w:rPr>
          <w:rFonts w:eastAsia="Calibri" w:cstheme="minorHAnsi"/>
          <w:kern w:val="36"/>
          <w:sz w:val="22"/>
          <w:szCs w:val="22"/>
        </w:rPr>
      </w:pPr>
      <w:proofErr w:type="spellStart"/>
      <w:r>
        <w:rPr>
          <w:rFonts w:eastAsia="Calibri" w:cstheme="minorHAnsi"/>
          <w:kern w:val="36"/>
          <w:sz w:val="22"/>
          <w:szCs w:val="22"/>
        </w:rPr>
        <w:t>Where</w:t>
      </w:r>
      <w:proofErr w:type="spellEnd"/>
      <w:r>
        <w:rPr>
          <w:rFonts w:eastAsia="Calibri" w:cstheme="minorHAnsi"/>
          <w:kern w:val="36"/>
          <w:sz w:val="22"/>
          <w:szCs w:val="22"/>
        </w:rPr>
        <w:t xml:space="preserve"> </w:t>
      </w:r>
      <w:proofErr w:type="spellStart"/>
      <w:r>
        <w:rPr>
          <w:rFonts w:eastAsia="Calibri" w:cstheme="minorHAnsi"/>
          <w:kern w:val="36"/>
          <w:sz w:val="22"/>
          <w:szCs w:val="22"/>
        </w:rPr>
        <w:t>any</w:t>
      </w:r>
      <w:proofErr w:type="spellEnd"/>
      <w:r>
        <w:rPr>
          <w:rFonts w:eastAsia="Calibri" w:cstheme="minorHAnsi"/>
          <w:kern w:val="36"/>
          <w:sz w:val="22"/>
          <w:szCs w:val="22"/>
        </w:rPr>
        <w:t xml:space="preserve"> charges are payable for publication of the Eligible Article in addition to the APC, </w:t>
      </w:r>
      <w:proofErr w:type="spellStart"/>
      <w:r>
        <w:rPr>
          <w:rFonts w:eastAsia="Calibri" w:cstheme="minorHAnsi"/>
          <w:kern w:val="36"/>
          <w:sz w:val="22"/>
          <w:szCs w:val="22"/>
        </w:rPr>
        <w:t>including</w:t>
      </w:r>
      <w:proofErr w:type="spellEnd"/>
      <w:r>
        <w:rPr>
          <w:rFonts w:eastAsia="Calibri" w:cstheme="minorHAnsi"/>
          <w:kern w:val="36"/>
          <w:sz w:val="22"/>
          <w:szCs w:val="22"/>
        </w:rPr>
        <w:t xml:space="preserve">, but not </w:t>
      </w:r>
      <w:proofErr w:type="spellStart"/>
      <w:r>
        <w:rPr>
          <w:rFonts w:eastAsia="Calibri" w:cstheme="minorHAnsi"/>
          <w:kern w:val="36"/>
          <w:sz w:val="22"/>
          <w:szCs w:val="22"/>
        </w:rPr>
        <w:t>limited</w:t>
      </w:r>
      <w:proofErr w:type="spellEnd"/>
      <w:r>
        <w:rPr>
          <w:rFonts w:eastAsia="Calibri" w:cstheme="minorHAnsi"/>
          <w:kern w:val="36"/>
          <w:sz w:val="22"/>
          <w:szCs w:val="22"/>
        </w:rPr>
        <w:t xml:space="preserve"> to, page charges, </w:t>
      </w:r>
      <w:proofErr w:type="spellStart"/>
      <w:r>
        <w:rPr>
          <w:rFonts w:eastAsia="Calibri" w:cstheme="minorHAnsi"/>
          <w:kern w:val="36"/>
          <w:sz w:val="22"/>
          <w:szCs w:val="22"/>
        </w:rPr>
        <w:t>these</w:t>
      </w:r>
      <w:proofErr w:type="spellEnd"/>
      <w:r>
        <w:rPr>
          <w:rFonts w:eastAsia="Calibri" w:cstheme="minorHAnsi"/>
          <w:kern w:val="36"/>
          <w:sz w:val="22"/>
          <w:szCs w:val="22"/>
        </w:rPr>
        <w:t xml:space="preserve"> </w:t>
      </w:r>
      <w:proofErr w:type="spellStart"/>
      <w:r>
        <w:rPr>
          <w:rFonts w:eastAsia="Calibri" w:cstheme="minorHAnsi"/>
          <w:kern w:val="36"/>
          <w:sz w:val="22"/>
          <w:szCs w:val="22"/>
        </w:rPr>
        <w:t>remain</w:t>
      </w:r>
      <w:proofErr w:type="spellEnd"/>
      <w:r>
        <w:rPr>
          <w:rFonts w:eastAsia="Calibri" w:cstheme="minorHAnsi"/>
          <w:kern w:val="36"/>
          <w:sz w:val="22"/>
          <w:szCs w:val="22"/>
        </w:rPr>
        <w:t xml:space="preserve"> payable by the </w:t>
      </w:r>
      <w:proofErr w:type="spellStart"/>
      <w:r>
        <w:rPr>
          <w:rFonts w:eastAsia="Calibri" w:cstheme="minorHAnsi"/>
          <w:kern w:val="36"/>
          <w:sz w:val="22"/>
          <w:szCs w:val="22"/>
        </w:rPr>
        <w:t>Corresponding</w:t>
      </w:r>
      <w:proofErr w:type="spellEnd"/>
      <w:r>
        <w:rPr>
          <w:rFonts w:eastAsia="Calibri" w:cstheme="minorHAnsi"/>
          <w:kern w:val="36"/>
          <w:sz w:val="22"/>
          <w:szCs w:val="22"/>
        </w:rPr>
        <w:t xml:space="preserve"> </w:t>
      </w:r>
      <w:proofErr w:type="spellStart"/>
      <w:proofErr w:type="gramStart"/>
      <w:r>
        <w:rPr>
          <w:rFonts w:eastAsia="Calibri" w:cstheme="minorHAnsi"/>
          <w:kern w:val="36"/>
          <w:sz w:val="22"/>
          <w:szCs w:val="22"/>
        </w:rPr>
        <w:t>Author</w:t>
      </w:r>
      <w:proofErr w:type="spellEnd"/>
      <w:r>
        <w:rPr>
          <w:rFonts w:eastAsia="Calibri" w:cstheme="minorHAnsi"/>
          <w:bCs/>
          <w:kern w:val="36"/>
          <w:sz w:val="22"/>
          <w:szCs w:val="22"/>
        </w:rPr>
        <w:t>;</w:t>
      </w:r>
      <w:proofErr w:type="gramEnd"/>
      <w:r>
        <w:rPr>
          <w:rFonts w:eastAsia="Calibri" w:cstheme="minorHAnsi"/>
          <w:bCs/>
          <w:kern w:val="36"/>
          <w:sz w:val="22"/>
          <w:szCs w:val="22"/>
        </w:rPr>
        <w:t xml:space="preserve"> and</w:t>
      </w:r>
      <w:r>
        <w:rPr>
          <w:rFonts w:eastAsia="Calibri" w:cstheme="minorHAnsi"/>
          <w:bCs/>
          <w:kern w:val="36"/>
          <w:sz w:val="22"/>
          <w:szCs w:val="22"/>
        </w:rPr>
        <w:tab/>
      </w:r>
      <w:r>
        <w:rPr>
          <w:rFonts w:eastAsia="Calibri" w:cstheme="minorHAnsi"/>
          <w:bCs/>
          <w:kern w:val="36"/>
          <w:sz w:val="22"/>
          <w:szCs w:val="22"/>
        </w:rPr>
        <w:br/>
      </w:r>
      <w:r>
        <w:rPr>
          <w:rFonts w:eastAsia="Calibri" w:cstheme="minorHAnsi"/>
          <w:bCs/>
          <w:kern w:val="36"/>
          <w:sz w:val="22"/>
          <w:szCs w:val="22"/>
        </w:rPr>
        <w:br/>
      </w:r>
      <w:r>
        <w:rPr>
          <w:rFonts w:eastAsia="Calibri" w:cstheme="minorHAnsi"/>
          <w:kern w:val="36"/>
          <w:sz w:val="22"/>
          <w:szCs w:val="22"/>
        </w:rPr>
        <w:t>Lorsque des frais sont exigibles pour la publication de l’article éligible en plus de frais de traitement des articles, y compris, mais sans s’y limiter, les frais de mise en page, ceux-ci restent à la charge de l’auteur correspondant ; et</w:t>
      </w:r>
      <w:r>
        <w:rPr>
          <w:rFonts w:eastAsia="Calibri" w:cstheme="minorHAnsi"/>
          <w:kern w:val="36"/>
          <w:sz w:val="22"/>
          <w:szCs w:val="22"/>
          <w:highlight w:val="yellow"/>
        </w:rPr>
        <w:t xml:space="preserve"> </w:t>
      </w:r>
    </w:p>
    <w:p>
      <w:pPr>
        <w:keepLines/>
        <w:numPr>
          <w:ilvl w:val="0"/>
          <w:numId w:val="17"/>
        </w:numPr>
        <w:spacing w:after="240"/>
        <w:ind w:left="993" w:hanging="273"/>
        <w:jc w:val="both"/>
        <w:outlineLvl w:val="0"/>
        <w:rPr>
          <w:rFonts w:eastAsia="Calibri" w:cstheme="minorHAnsi"/>
          <w:kern w:val="36"/>
          <w:sz w:val="22"/>
          <w:szCs w:val="22"/>
        </w:rPr>
      </w:pPr>
      <w:r>
        <w:rPr>
          <w:rFonts w:eastAsia="Calibri" w:cstheme="minorHAnsi"/>
          <w:kern w:val="36"/>
          <w:sz w:val="22"/>
          <w:szCs w:val="22"/>
          <w:lang w:val="en-GB"/>
        </w:rPr>
        <w:t>The decision whether or not to publish any article shall be taken by IOP and / or respective partner in its absolute discretion, using its editorial criteria.</w:t>
      </w:r>
      <w:r>
        <w:rPr>
          <w:rFonts w:eastAsia="Calibri" w:cstheme="minorHAnsi"/>
          <w:kern w:val="36"/>
          <w:sz w:val="22"/>
          <w:szCs w:val="22"/>
          <w:lang w:val="en-GB"/>
        </w:rPr>
        <w:tab/>
      </w:r>
      <w:r>
        <w:rPr>
          <w:rFonts w:eastAsia="Calibri" w:cstheme="minorHAnsi"/>
          <w:kern w:val="36"/>
          <w:sz w:val="22"/>
          <w:szCs w:val="22"/>
          <w:lang w:val="en-GB"/>
        </w:rPr>
        <w:br/>
      </w:r>
      <w:r>
        <w:rPr>
          <w:rFonts w:eastAsia="Calibri" w:cstheme="minorHAnsi"/>
          <w:kern w:val="36"/>
          <w:sz w:val="22"/>
          <w:szCs w:val="22"/>
          <w:lang w:val="en-GB"/>
        </w:rPr>
        <w:br/>
      </w:r>
      <w:r>
        <w:rPr>
          <w:rFonts w:eastAsia="Calibri" w:cstheme="minorHAnsi"/>
          <w:kern w:val="36"/>
          <w:sz w:val="22"/>
          <w:szCs w:val="22"/>
        </w:rPr>
        <w:t xml:space="preserve">La décision de publier ou non un article sera </w:t>
      </w:r>
      <w:proofErr w:type="gramStart"/>
      <w:r>
        <w:rPr>
          <w:rFonts w:eastAsia="Calibri" w:cstheme="minorHAnsi"/>
          <w:kern w:val="36"/>
          <w:sz w:val="22"/>
          <w:szCs w:val="22"/>
        </w:rPr>
        <w:t>prise</w:t>
      </w:r>
      <w:proofErr w:type="gramEnd"/>
      <w:r>
        <w:rPr>
          <w:rFonts w:eastAsia="Calibri" w:cstheme="minorHAnsi"/>
          <w:kern w:val="36"/>
          <w:sz w:val="22"/>
          <w:szCs w:val="22"/>
        </w:rPr>
        <w:t xml:space="preserve"> par IOP et / ou le partenaire respectif à sa discrétion absolue, en utilisant ses critères éditoriaux.</w:t>
      </w:r>
      <w:r>
        <w:rPr>
          <w:rFonts w:eastAsia="Calibri" w:cstheme="minorHAnsi"/>
          <w:kern w:val="36"/>
          <w:sz w:val="22"/>
          <w:szCs w:val="22"/>
        </w:rPr>
        <w:tab/>
      </w:r>
      <w:r>
        <w:rPr>
          <w:rFonts w:eastAsia="Calibri" w:cstheme="minorHAnsi"/>
          <w:kern w:val="36"/>
          <w:sz w:val="22"/>
          <w:szCs w:val="22"/>
          <w:highlight w:val="yellow"/>
        </w:rPr>
        <w:t xml:space="preserve"> </w:t>
      </w:r>
    </w:p>
    <w:p>
      <w:pPr>
        <w:tabs>
          <w:tab w:val="left" w:pos="567"/>
        </w:tabs>
        <w:autoSpaceDE w:val="0"/>
        <w:autoSpaceDN w:val="0"/>
        <w:adjustRightInd w:val="0"/>
        <w:spacing w:after="200"/>
        <w:ind w:left="567" w:hanging="567"/>
        <w:jc w:val="both"/>
        <w:rPr>
          <w:rFonts w:cstheme="minorHAnsi"/>
          <w:sz w:val="22"/>
          <w:szCs w:val="22"/>
          <w:lang w:val="en-GB"/>
        </w:rPr>
      </w:pPr>
      <w:r>
        <w:rPr>
          <w:rFonts w:cstheme="minorHAnsi"/>
          <w:sz w:val="22"/>
          <w:szCs w:val="22"/>
          <w:lang w:val="en-GB"/>
        </w:rPr>
        <w:t>8</w:t>
      </w:r>
      <w:r>
        <w:rPr>
          <w:rFonts w:cstheme="minorHAnsi"/>
          <w:sz w:val="22"/>
          <w:szCs w:val="22"/>
          <w:lang w:val="en-GB"/>
        </w:rPr>
        <w:tab/>
        <w:t xml:space="preserve">IOP will deliver article metadata including Open Access licence information to </w:t>
      </w:r>
      <w:proofErr w:type="spellStart"/>
      <w:r>
        <w:rPr>
          <w:rFonts w:cstheme="minorHAnsi"/>
          <w:sz w:val="22"/>
          <w:szCs w:val="22"/>
          <w:lang w:val="en-GB"/>
        </w:rPr>
        <w:t>Crossref</w:t>
      </w:r>
      <w:proofErr w:type="spellEnd"/>
      <w:r>
        <w:rPr>
          <w:rFonts w:cstheme="minorHAnsi"/>
          <w:sz w:val="22"/>
          <w:szCs w:val="22"/>
          <w:lang w:val="en-GB"/>
        </w:rPr>
        <w:t>.</w:t>
      </w:r>
    </w:p>
    <w:p>
      <w:pPr>
        <w:tabs>
          <w:tab w:val="left" w:pos="567"/>
        </w:tabs>
        <w:autoSpaceDE w:val="0"/>
        <w:autoSpaceDN w:val="0"/>
        <w:adjustRightInd w:val="0"/>
        <w:spacing w:after="200"/>
        <w:ind w:left="567" w:hanging="567"/>
        <w:jc w:val="both"/>
        <w:rPr>
          <w:rFonts w:cstheme="minorHAnsi"/>
          <w:color w:val="000000"/>
          <w:sz w:val="22"/>
          <w:szCs w:val="22"/>
          <w:lang w:eastAsia="en-GB"/>
        </w:rPr>
      </w:pPr>
      <w:r>
        <w:rPr>
          <w:rFonts w:cstheme="minorHAnsi"/>
          <w:sz w:val="22"/>
          <w:szCs w:val="22"/>
          <w:lang w:val="en-GB"/>
        </w:rPr>
        <w:tab/>
      </w:r>
      <w:r>
        <w:rPr>
          <w:rFonts w:cstheme="minorHAnsi"/>
          <w:sz w:val="22"/>
          <w:szCs w:val="22"/>
        </w:rPr>
        <w:t xml:space="preserve">IOP fournira les métadonnées des articles, notamment les informations relatives à la licence Open Access, à </w:t>
      </w:r>
      <w:proofErr w:type="spellStart"/>
      <w:r>
        <w:rPr>
          <w:rFonts w:cstheme="minorHAnsi"/>
          <w:sz w:val="22"/>
          <w:szCs w:val="22"/>
        </w:rPr>
        <w:t>Crossref</w:t>
      </w:r>
      <w:proofErr w:type="spellEnd"/>
      <w:r>
        <w:rPr>
          <w:rFonts w:cstheme="minorHAnsi"/>
          <w:sz w:val="22"/>
          <w:szCs w:val="22"/>
        </w:rPr>
        <w:t>.</w:t>
      </w:r>
      <w:r>
        <w:rPr>
          <w:rFonts w:cstheme="minorHAnsi"/>
          <w:sz w:val="22"/>
          <w:szCs w:val="22"/>
          <w:highlight w:val="yellow"/>
        </w:rPr>
        <w:t xml:space="preserve"> </w:t>
      </w:r>
    </w:p>
    <w:p>
      <w:pPr>
        <w:spacing w:after="200"/>
        <w:ind w:left="567" w:hanging="567"/>
        <w:contextualSpacing/>
        <w:jc w:val="both"/>
        <w:rPr>
          <w:rFonts w:eastAsia="Calibri" w:cstheme="minorHAnsi"/>
          <w:sz w:val="22"/>
          <w:szCs w:val="22"/>
          <w:lang w:val="en-GB"/>
        </w:rPr>
      </w:pPr>
      <w:r>
        <w:rPr>
          <w:rFonts w:eastAsia="Calibri" w:cstheme="minorHAnsi"/>
          <w:sz w:val="22"/>
          <w:szCs w:val="22"/>
          <w:lang w:val="en-GB"/>
        </w:rPr>
        <w:t>9</w:t>
      </w:r>
      <w:r>
        <w:rPr>
          <w:rFonts w:eastAsia="Calibri" w:cstheme="minorHAnsi"/>
          <w:sz w:val="22"/>
          <w:szCs w:val="22"/>
          <w:lang w:val="en-GB"/>
        </w:rPr>
        <w:tab/>
        <w:t>Any Eligible Article will be published under a Creative Commons CC BY licence and can be posted to institutional and subject repositories immediately, in accordance with the terms of that CC BY licence.</w:t>
      </w:r>
    </w:p>
    <w:p>
      <w:pPr>
        <w:spacing w:after="200"/>
        <w:ind w:left="567" w:hanging="567"/>
        <w:contextualSpacing/>
        <w:jc w:val="both"/>
        <w:rPr>
          <w:rFonts w:eastAsia="Calibri" w:cstheme="minorHAnsi"/>
          <w:sz w:val="22"/>
          <w:szCs w:val="22"/>
          <w:lang w:val="en-GB"/>
        </w:rPr>
      </w:pPr>
    </w:p>
    <w:p>
      <w:pPr>
        <w:spacing w:after="200"/>
        <w:ind w:left="567" w:hanging="567"/>
        <w:contextualSpacing/>
        <w:jc w:val="both"/>
        <w:rPr>
          <w:rFonts w:eastAsia="Calibri" w:cstheme="minorHAnsi"/>
          <w:sz w:val="22"/>
          <w:szCs w:val="22"/>
        </w:rPr>
      </w:pPr>
      <w:r>
        <w:rPr>
          <w:rFonts w:eastAsia="Calibri" w:cstheme="minorHAnsi"/>
          <w:sz w:val="22"/>
          <w:szCs w:val="22"/>
          <w:lang w:val="en-GB"/>
        </w:rPr>
        <w:tab/>
      </w:r>
      <w:r>
        <w:rPr>
          <w:rFonts w:eastAsia="Calibri" w:cstheme="minorHAnsi"/>
          <w:sz w:val="22"/>
          <w:szCs w:val="22"/>
        </w:rPr>
        <w:t>Tout article éligible sera publié sous licence Creative Commons CC BY et pourra être publié immédiatement dans les dépôts institutionnels et thématiques, conformément aux termes de cette licence CC BY.</w:t>
      </w:r>
      <w:r>
        <w:rPr>
          <w:rFonts w:eastAsia="Calibri" w:cstheme="minorHAnsi"/>
          <w:sz w:val="22"/>
          <w:szCs w:val="22"/>
          <w:highlight w:val="yellow"/>
        </w:rPr>
        <w:t xml:space="preserve"> </w:t>
      </w:r>
    </w:p>
    <w:p>
      <w:pPr>
        <w:spacing w:after="200"/>
        <w:contextualSpacing/>
        <w:jc w:val="both"/>
        <w:rPr>
          <w:rFonts w:eastAsia="Calibri" w:cstheme="minorHAnsi"/>
          <w:sz w:val="22"/>
          <w:szCs w:val="22"/>
        </w:rPr>
      </w:pPr>
    </w:p>
    <w:p>
      <w:pPr>
        <w:spacing w:after="200"/>
        <w:ind w:left="567" w:hanging="567"/>
        <w:contextualSpacing/>
        <w:jc w:val="both"/>
        <w:rPr>
          <w:rFonts w:eastAsia="Calibri" w:cstheme="minorHAnsi"/>
          <w:sz w:val="22"/>
          <w:szCs w:val="22"/>
          <w:lang w:val="en-GB"/>
        </w:rPr>
      </w:pPr>
      <w:r>
        <w:rPr>
          <w:rFonts w:eastAsia="Calibri" w:cstheme="minorHAnsi"/>
          <w:sz w:val="22"/>
          <w:szCs w:val="22"/>
          <w:lang w:val="en-GB"/>
        </w:rPr>
        <w:t>10</w:t>
      </w:r>
      <w:r>
        <w:rPr>
          <w:rFonts w:eastAsia="Calibri" w:cstheme="minorHAnsi"/>
          <w:sz w:val="22"/>
          <w:szCs w:val="22"/>
          <w:lang w:val="en-GB"/>
        </w:rPr>
        <w:tab/>
        <w:t>IOP will send quarterly reports and an annual statement of the Eligible Articles accepted and published within the period to the Consortium.</w:t>
      </w:r>
    </w:p>
    <w:p>
      <w:pPr>
        <w:spacing w:after="200"/>
        <w:ind w:left="567" w:hanging="567"/>
        <w:contextualSpacing/>
        <w:jc w:val="both"/>
        <w:rPr>
          <w:rFonts w:eastAsia="Calibri" w:cstheme="minorHAnsi"/>
          <w:sz w:val="22"/>
          <w:szCs w:val="22"/>
          <w:lang w:val="en-GB"/>
        </w:rPr>
      </w:pPr>
    </w:p>
    <w:p>
      <w:pPr>
        <w:spacing w:after="200"/>
        <w:ind w:left="567" w:hanging="567"/>
        <w:contextualSpacing/>
        <w:jc w:val="both"/>
        <w:rPr>
          <w:rFonts w:eastAsia="Calibri" w:cstheme="minorHAnsi"/>
          <w:sz w:val="22"/>
          <w:szCs w:val="22"/>
        </w:rPr>
      </w:pPr>
      <w:r>
        <w:rPr>
          <w:rFonts w:eastAsia="Calibri" w:cstheme="minorHAnsi"/>
          <w:sz w:val="22"/>
          <w:szCs w:val="22"/>
          <w:lang w:val="en-GB"/>
        </w:rPr>
        <w:tab/>
      </w:r>
      <w:r>
        <w:rPr>
          <w:rFonts w:eastAsia="Calibri" w:cstheme="minorHAnsi"/>
          <w:sz w:val="22"/>
          <w:szCs w:val="22"/>
        </w:rPr>
        <w:t>IOP enverra au Consortium des rapports trimestriels et un relevé annuel des articles admissibles acceptés et publiés au cours de la période.</w:t>
      </w:r>
      <w:r>
        <w:rPr>
          <w:rFonts w:eastAsia="Calibri" w:cstheme="minorHAnsi"/>
          <w:sz w:val="22"/>
          <w:szCs w:val="22"/>
          <w:highlight w:val="yellow"/>
        </w:rPr>
        <w:t xml:space="preserve"> </w:t>
      </w:r>
    </w:p>
    <w:p>
      <w:pPr>
        <w:jc w:val="both"/>
        <w:rPr>
          <w:rFonts w:cstheme="minorHAnsi"/>
          <w:sz w:val="22"/>
          <w:szCs w:val="22"/>
        </w:rPr>
      </w:pPr>
    </w:p>
    <w:p>
      <w:pPr>
        <w:ind w:left="567" w:hanging="567"/>
        <w:jc w:val="both"/>
        <w:rPr>
          <w:rFonts w:cstheme="minorHAnsi"/>
          <w:sz w:val="22"/>
          <w:szCs w:val="22"/>
          <w:lang w:val="en-GB"/>
        </w:rPr>
      </w:pPr>
      <w:proofErr w:type="gramStart"/>
      <w:r>
        <w:rPr>
          <w:rFonts w:cstheme="minorHAnsi"/>
          <w:sz w:val="22"/>
          <w:szCs w:val="22"/>
          <w:lang w:val="en-GB"/>
        </w:rPr>
        <w:t xml:space="preserve">11  </w:t>
      </w:r>
      <w:r>
        <w:rPr>
          <w:rFonts w:cstheme="minorHAnsi"/>
          <w:sz w:val="22"/>
          <w:szCs w:val="22"/>
          <w:lang w:val="en-GB"/>
        </w:rPr>
        <w:tab/>
      </w:r>
      <w:proofErr w:type="gramEnd"/>
      <w:r>
        <w:rPr>
          <w:rFonts w:cstheme="minorHAnsi"/>
          <w:sz w:val="22"/>
          <w:szCs w:val="22"/>
          <w:lang w:val="en-GB"/>
        </w:rPr>
        <w:t>IOP will notify the Consortium in writing when any titles will be added or removed to the list of Included Journals (Schedule 5).</w:t>
      </w:r>
    </w:p>
    <w:p>
      <w:pPr>
        <w:ind w:left="567" w:hanging="567"/>
        <w:jc w:val="both"/>
        <w:rPr>
          <w:rFonts w:cstheme="minorHAnsi"/>
          <w:sz w:val="22"/>
          <w:szCs w:val="22"/>
          <w:lang w:val="en-GB"/>
        </w:rPr>
      </w:pPr>
    </w:p>
    <w:p>
      <w:pPr>
        <w:ind w:left="567" w:hanging="567"/>
        <w:jc w:val="both"/>
        <w:rPr>
          <w:rFonts w:eastAsia="Calibri" w:cstheme="minorHAnsi"/>
          <w:sz w:val="22"/>
          <w:szCs w:val="22"/>
        </w:rPr>
      </w:pPr>
      <w:r>
        <w:rPr>
          <w:rFonts w:cstheme="minorHAnsi"/>
          <w:sz w:val="22"/>
          <w:szCs w:val="22"/>
          <w:lang w:val="en-GB"/>
        </w:rPr>
        <w:tab/>
      </w:r>
      <w:r>
        <w:rPr>
          <w:rFonts w:cstheme="minorHAnsi"/>
          <w:sz w:val="22"/>
          <w:szCs w:val="22"/>
        </w:rPr>
        <w:t>IOP notifiera par écrit au Consortium l’ajout ou le retrait de tout titre à la liste des revues incluses dans la liste (annexe 5).</w:t>
      </w:r>
      <w:r>
        <w:rPr>
          <w:rFonts w:cstheme="minorHAnsi"/>
          <w:sz w:val="22"/>
          <w:szCs w:val="22"/>
          <w:highlight w:val="yellow"/>
        </w:rPr>
        <w:t xml:space="preserve"> </w:t>
      </w:r>
    </w:p>
    <w:p>
      <w:pPr>
        <w:rPr>
          <w:rFonts w:cstheme="minorHAnsi"/>
          <w:b/>
          <w:sz w:val="22"/>
          <w:szCs w:val="22"/>
        </w:rPr>
      </w:pPr>
    </w:p>
    <w:p>
      <w:pPr>
        <w:rPr>
          <w:rFonts w:cstheme="minorHAnsi"/>
          <w:b/>
          <w:sz w:val="22"/>
          <w:szCs w:val="22"/>
        </w:rPr>
      </w:pPr>
    </w:p>
    <w:p>
      <w:pPr>
        <w:rPr>
          <w:rFonts w:cstheme="minorHAnsi"/>
          <w:b/>
          <w:sz w:val="22"/>
          <w:szCs w:val="22"/>
        </w:rPr>
      </w:pPr>
    </w:p>
    <w:p>
      <w:pPr>
        <w:rPr>
          <w:rFonts w:cstheme="minorHAnsi"/>
          <w:b/>
          <w:sz w:val="22"/>
          <w:szCs w:val="22"/>
        </w:rPr>
      </w:pPr>
    </w:p>
    <w:p>
      <w:pPr>
        <w:rPr>
          <w:rFonts w:cstheme="minorHAnsi"/>
          <w:b/>
          <w:sz w:val="22"/>
          <w:szCs w:val="22"/>
        </w:rPr>
      </w:pPr>
    </w:p>
    <w:p>
      <w:pPr>
        <w:rPr>
          <w:rFonts w:cstheme="minorHAnsi"/>
          <w:b/>
          <w:sz w:val="22"/>
          <w:szCs w:val="22"/>
        </w:rPr>
      </w:pPr>
    </w:p>
    <w:p>
      <w:pPr>
        <w:rPr>
          <w:rFonts w:cstheme="minorHAnsi"/>
          <w:b/>
          <w:sz w:val="20"/>
          <w:szCs w:val="20"/>
          <w:lang w:val="en-GB"/>
        </w:rPr>
      </w:pPr>
      <w:r>
        <w:rPr>
          <w:rFonts w:cstheme="minorHAnsi"/>
          <w:b/>
          <w:sz w:val="20"/>
          <w:szCs w:val="20"/>
          <w:lang w:val="en-GB"/>
        </w:rPr>
        <w:t xml:space="preserve">SCHEDULE 5: INCLUDED JOURNALS </w:t>
      </w:r>
    </w:p>
    <w:p>
      <w:pPr>
        <w:rPr>
          <w:rFonts w:cstheme="minorHAnsi"/>
          <w:b/>
          <w:sz w:val="20"/>
          <w:szCs w:val="20"/>
          <w:lang w:val="en-GB"/>
        </w:rPr>
      </w:pPr>
      <w:r>
        <w:rPr>
          <w:rFonts w:cstheme="minorHAnsi"/>
          <w:b/>
          <w:sz w:val="20"/>
          <w:szCs w:val="20"/>
          <w:lang w:val="en-GB"/>
        </w:rPr>
        <w:t xml:space="preserve">ANNEXE </w:t>
      </w:r>
      <w:proofErr w:type="gramStart"/>
      <w:r>
        <w:rPr>
          <w:rFonts w:cstheme="minorHAnsi"/>
          <w:b/>
          <w:sz w:val="20"/>
          <w:szCs w:val="20"/>
          <w:lang w:val="en-GB"/>
        </w:rPr>
        <w:t>5 :</w:t>
      </w:r>
      <w:proofErr w:type="gramEnd"/>
      <w:r>
        <w:rPr>
          <w:rFonts w:cstheme="minorHAnsi"/>
          <w:b/>
          <w:sz w:val="20"/>
          <w:szCs w:val="20"/>
          <w:lang w:val="en-GB"/>
        </w:rPr>
        <w:t xml:space="preserve"> REVUES INCLUSES</w:t>
      </w:r>
    </w:p>
    <w:p>
      <w:pPr>
        <w:rPr>
          <w:rFonts w:cstheme="minorHAnsi"/>
          <w:bCs/>
          <w:sz w:val="22"/>
          <w:szCs w:val="22"/>
          <w:lang w:val="en-GB"/>
        </w:rPr>
      </w:pPr>
    </w:p>
    <w:p>
      <w:pPr>
        <w:rPr>
          <w:bCs/>
          <w:sz w:val="22"/>
          <w:szCs w:val="22"/>
          <w:lang w:val="en-GB"/>
        </w:rPr>
      </w:pPr>
      <w:r>
        <w:rPr>
          <w:bCs/>
          <w:sz w:val="22"/>
          <w:szCs w:val="22"/>
          <w:lang w:val="en-GB"/>
        </w:rPr>
        <w:t>[To be added upon upgrade to Option 1, if applicable]</w:t>
      </w:r>
    </w:p>
    <w:p>
      <w:pPr>
        <w:rPr>
          <w:bCs/>
          <w:sz w:val="22"/>
          <w:szCs w:val="22"/>
          <w:lang w:val="en-GB"/>
        </w:rPr>
      </w:pPr>
    </w:p>
    <w:p>
      <w:pPr>
        <w:rPr>
          <w:bCs/>
          <w:sz w:val="22"/>
          <w:szCs w:val="22"/>
        </w:rPr>
      </w:pPr>
      <w:r>
        <w:rPr>
          <w:bCs/>
          <w:sz w:val="22"/>
          <w:szCs w:val="22"/>
        </w:rPr>
        <w:t>[À ajouter lors de la mise à niveau vers l'option 1, le cas échéant]</w:t>
      </w:r>
    </w:p>
    <w:p>
      <w:pPr>
        <w:rPr>
          <w:b/>
          <w:sz w:val="20"/>
          <w:szCs w:val="20"/>
        </w:rPr>
      </w:pPr>
    </w:p>
    <w:p>
      <w:pPr>
        <w:rPr>
          <w:sz w:val="20"/>
          <w:szCs w:val="20"/>
        </w:rPr>
      </w:pPr>
    </w:p>
    <w:p>
      <w:pPr>
        <w:rPr>
          <w:sz w:val="20"/>
          <w:szCs w:val="20"/>
        </w:rPr>
      </w:pPr>
    </w:p>
    <w:p>
      <w:pPr>
        <w:rPr>
          <w:sz w:val="20"/>
          <w:szCs w:val="20"/>
        </w:rPr>
      </w:pPr>
    </w:p>
    <w:p>
      <w:pPr>
        <w:rPr>
          <w:sz w:val="20"/>
          <w:szCs w:val="20"/>
        </w:rPr>
      </w:pPr>
      <w:bookmarkStart w:id="9" w:name="_GoBack"/>
      <w:bookmarkEnd w:id="9"/>
    </w:p>
    <w:p>
      <w:pPr>
        <w:rPr>
          <w:sz w:val="20"/>
          <w:szCs w:val="20"/>
        </w:rPr>
      </w:pPr>
    </w:p>
    <w:p>
      <w:pPr>
        <w:rPr>
          <w:sz w:val="20"/>
          <w:szCs w:val="20"/>
        </w:rPr>
      </w:pPr>
    </w:p>
    <w:p>
      <w:pPr>
        <w:rPr>
          <w:sz w:val="20"/>
          <w:szCs w:val="20"/>
          <w:lang w:val="en-GB"/>
        </w:rPr>
      </w:pPr>
      <w:r>
        <w:rPr>
          <w:sz w:val="20"/>
          <w:szCs w:val="20"/>
          <w:lang w:val="en-GB"/>
        </w:rPr>
        <w:t>AS WITNESS the hands of the parties the day and year below first written.</w:t>
      </w:r>
    </w:p>
    <w:p>
      <w:pPr>
        <w:rPr>
          <w:sz w:val="20"/>
          <w:szCs w:val="20"/>
        </w:rPr>
      </w:pPr>
      <w:r>
        <w:rPr>
          <w:sz w:val="20"/>
          <w:szCs w:val="20"/>
        </w:rPr>
        <w:t>Comme l’attestent les signatures des parties, le jour et l’année indiqués ci-dessous.</w:t>
      </w:r>
    </w:p>
    <w:p>
      <w:pPr>
        <w:rPr>
          <w:sz w:val="20"/>
          <w:szCs w:val="20"/>
        </w:rPr>
      </w:pPr>
    </w:p>
    <w:p>
      <w:pPr>
        <w:rPr>
          <w:sz w:val="20"/>
          <w:szCs w:val="20"/>
        </w:rPr>
      </w:pPr>
    </w:p>
    <w:p>
      <w:pPr>
        <w:rPr>
          <w:b/>
          <w:sz w:val="20"/>
          <w:szCs w:val="20"/>
          <w:lang w:val="en-GB"/>
        </w:rPr>
      </w:pPr>
      <w:r>
        <w:rPr>
          <w:b/>
          <w:sz w:val="20"/>
          <w:szCs w:val="20"/>
          <w:lang w:val="en-GB"/>
        </w:rPr>
        <w:t xml:space="preserve">FOR THE </w:t>
      </w:r>
      <w:proofErr w:type="gramStart"/>
      <w:r>
        <w:rPr>
          <w:b/>
          <w:sz w:val="20"/>
          <w:szCs w:val="20"/>
          <w:lang w:val="en-GB"/>
        </w:rPr>
        <w:t>PUBLISHER :</w:t>
      </w:r>
      <w:proofErr w:type="gramEnd"/>
      <w:r>
        <w:rPr>
          <w:b/>
          <w:sz w:val="20"/>
          <w:szCs w:val="20"/>
          <w:lang w:val="en-GB"/>
        </w:rPr>
        <w:t xml:space="preserve"> IOP PUBLISHING LIMITED</w:t>
      </w:r>
    </w:p>
    <w:p>
      <w:pPr>
        <w:rPr>
          <w:b/>
          <w:sz w:val="20"/>
          <w:szCs w:val="20"/>
          <w:lang w:val="en-GB"/>
        </w:rPr>
      </w:pPr>
      <w:r>
        <w:rPr>
          <w:b/>
          <w:sz w:val="20"/>
          <w:szCs w:val="20"/>
          <w:lang w:val="en-GB"/>
        </w:rPr>
        <w:t xml:space="preserve">POUR </w:t>
      </w:r>
      <w:proofErr w:type="gramStart"/>
      <w:r>
        <w:rPr>
          <w:b/>
          <w:sz w:val="20"/>
          <w:szCs w:val="20"/>
          <w:lang w:val="en-GB"/>
        </w:rPr>
        <w:t>L’ÉDITEUR :</w:t>
      </w:r>
      <w:proofErr w:type="gramEnd"/>
      <w:r>
        <w:rPr>
          <w:b/>
          <w:sz w:val="20"/>
          <w:szCs w:val="20"/>
          <w:lang w:val="en-GB"/>
        </w:rPr>
        <w:t xml:space="preserve"> IOP PUBLISHING LIMITED</w:t>
      </w:r>
    </w:p>
    <w:p>
      <w:pPr>
        <w:rPr>
          <w:sz w:val="20"/>
          <w:szCs w:val="20"/>
          <w:lang w:val="en-GB"/>
        </w:rPr>
      </w:pPr>
    </w:p>
    <w:p>
      <w:pPr>
        <w:rPr>
          <w:sz w:val="20"/>
          <w:szCs w:val="20"/>
          <w:lang w:val="en-GB"/>
        </w:rPr>
      </w:pPr>
    </w:p>
    <w:p>
      <w:pPr>
        <w:rPr>
          <w:sz w:val="20"/>
          <w:szCs w:val="20"/>
          <w:lang w:val="en-GB"/>
        </w:rPr>
      </w:pPr>
      <w:r>
        <w:rPr>
          <w:sz w:val="20"/>
          <w:szCs w:val="20"/>
          <w:lang w:val="en-GB"/>
        </w:rPr>
        <w:t>Name (in block capitals):</w:t>
      </w:r>
      <w:r>
        <w:rPr>
          <w:sz w:val="20"/>
          <w:szCs w:val="20"/>
          <w:lang w:val="en-GB"/>
        </w:rPr>
        <w:tab/>
      </w:r>
      <w:r>
        <w:rPr>
          <w:sz w:val="20"/>
          <w:szCs w:val="20"/>
          <w:lang w:val="en-GB"/>
        </w:rPr>
        <w:tab/>
      </w:r>
      <w:r>
        <w:rPr>
          <w:sz w:val="20"/>
          <w:szCs w:val="20"/>
          <w:lang w:val="en-GB"/>
        </w:rPr>
        <w:tab/>
        <w:t>Date:</w:t>
      </w:r>
    </w:p>
    <w:p>
      <w:pPr>
        <w:rPr>
          <w:sz w:val="20"/>
          <w:szCs w:val="20"/>
        </w:rPr>
      </w:pPr>
      <w:r>
        <w:rPr>
          <w:sz w:val="20"/>
          <w:szCs w:val="20"/>
        </w:rPr>
        <w:t>Nom (en lettres majuscules) :</w:t>
      </w:r>
      <w:r>
        <w:rPr>
          <w:sz w:val="20"/>
          <w:szCs w:val="20"/>
        </w:rPr>
        <w:tab/>
      </w:r>
      <w:r>
        <w:rPr>
          <w:sz w:val="20"/>
          <w:szCs w:val="20"/>
        </w:rPr>
        <w:tab/>
        <w:t>Date :</w:t>
      </w:r>
    </w:p>
    <w:p>
      <w:pPr>
        <w:rPr>
          <w:sz w:val="20"/>
          <w:szCs w:val="20"/>
        </w:rPr>
      </w:pPr>
    </w:p>
    <w:p>
      <w:pPr>
        <w:rPr>
          <w:sz w:val="20"/>
          <w:szCs w:val="20"/>
        </w:rPr>
      </w:pPr>
      <w:r>
        <w:rPr>
          <w:sz w:val="20"/>
          <w:szCs w:val="20"/>
        </w:rPr>
        <w:t>Signature :</w:t>
      </w:r>
    </w:p>
    <w:p>
      <w:pPr>
        <w:rPr>
          <w:sz w:val="20"/>
          <w:szCs w:val="20"/>
        </w:rPr>
      </w:pPr>
      <w:r>
        <w:rPr>
          <w:sz w:val="20"/>
          <w:szCs w:val="20"/>
        </w:rPr>
        <w:t>Signature :</w:t>
      </w:r>
    </w:p>
    <w:p>
      <w:pPr>
        <w:rPr>
          <w:sz w:val="20"/>
          <w:szCs w:val="20"/>
        </w:rPr>
      </w:pPr>
    </w:p>
    <w:p>
      <w:pPr>
        <w:rPr>
          <w:sz w:val="20"/>
          <w:szCs w:val="20"/>
        </w:rPr>
      </w:pPr>
      <w:r>
        <w:rPr>
          <w:sz w:val="20"/>
          <w:szCs w:val="20"/>
        </w:rPr>
        <w:t xml:space="preserve">Position / </w:t>
      </w:r>
      <w:proofErr w:type="spellStart"/>
      <w:r>
        <w:rPr>
          <w:sz w:val="20"/>
          <w:szCs w:val="20"/>
        </w:rPr>
        <w:t>Title</w:t>
      </w:r>
      <w:proofErr w:type="spellEnd"/>
      <w:r>
        <w:rPr>
          <w:sz w:val="20"/>
          <w:szCs w:val="20"/>
        </w:rPr>
        <w:t> :</w:t>
      </w:r>
    </w:p>
    <w:p>
      <w:pPr>
        <w:rPr>
          <w:sz w:val="20"/>
          <w:szCs w:val="20"/>
        </w:rPr>
      </w:pPr>
      <w:r>
        <w:rPr>
          <w:sz w:val="20"/>
          <w:szCs w:val="20"/>
        </w:rPr>
        <w:t>Fonction / Civilité :</w:t>
      </w:r>
    </w:p>
    <w:p>
      <w:pPr>
        <w:rPr>
          <w:sz w:val="20"/>
          <w:szCs w:val="20"/>
        </w:rPr>
      </w:pPr>
    </w:p>
    <w:p>
      <w:pPr>
        <w:rPr>
          <w:sz w:val="20"/>
          <w:szCs w:val="20"/>
        </w:rPr>
      </w:pPr>
    </w:p>
    <w:p>
      <w:pPr>
        <w:rPr>
          <w:b/>
          <w:sz w:val="20"/>
          <w:szCs w:val="20"/>
          <w:lang w:val="en-GB"/>
        </w:rPr>
      </w:pPr>
      <w:r>
        <w:rPr>
          <w:b/>
          <w:sz w:val="20"/>
          <w:szCs w:val="20"/>
          <w:lang w:val="en-GB"/>
        </w:rPr>
        <w:t xml:space="preserve">FOR AND ON BEHALF OF THE LICENSEE </w:t>
      </w:r>
    </w:p>
    <w:p>
      <w:pPr>
        <w:rPr>
          <w:color w:val="FF0000"/>
          <w:sz w:val="20"/>
          <w:szCs w:val="20"/>
        </w:rPr>
      </w:pPr>
      <w:r>
        <w:rPr>
          <w:b/>
          <w:color w:val="000000" w:themeColor="text1"/>
          <w:sz w:val="20"/>
          <w:szCs w:val="20"/>
        </w:rPr>
        <w:t>POUR ET AU NOM DU TITULAIRE DE LICENCE</w:t>
      </w:r>
    </w:p>
    <w:p>
      <w:pPr>
        <w:rPr>
          <w:sz w:val="20"/>
          <w:szCs w:val="20"/>
        </w:rPr>
      </w:pPr>
    </w:p>
    <w:p>
      <w:pPr>
        <w:rPr>
          <w:sz w:val="20"/>
          <w:szCs w:val="20"/>
          <w:lang w:val="en-GB"/>
        </w:rPr>
      </w:pPr>
      <w:r>
        <w:rPr>
          <w:sz w:val="20"/>
          <w:szCs w:val="20"/>
          <w:lang w:val="en-GB"/>
        </w:rPr>
        <w:t>Name (in block capitals):</w:t>
      </w:r>
      <w:r>
        <w:rPr>
          <w:sz w:val="20"/>
          <w:szCs w:val="20"/>
          <w:lang w:val="en-GB"/>
        </w:rPr>
        <w:tab/>
      </w:r>
      <w:r>
        <w:rPr>
          <w:sz w:val="20"/>
          <w:szCs w:val="20"/>
          <w:lang w:val="en-GB"/>
        </w:rPr>
        <w:tab/>
      </w:r>
      <w:r>
        <w:rPr>
          <w:sz w:val="20"/>
          <w:szCs w:val="20"/>
          <w:lang w:val="en-GB"/>
        </w:rPr>
        <w:tab/>
        <w:t>Date:</w:t>
      </w:r>
    </w:p>
    <w:p>
      <w:pPr>
        <w:rPr>
          <w:sz w:val="20"/>
          <w:szCs w:val="20"/>
        </w:rPr>
      </w:pPr>
      <w:r>
        <w:rPr>
          <w:sz w:val="20"/>
          <w:szCs w:val="20"/>
        </w:rPr>
        <w:t>Nom (en lettres majuscules) :</w:t>
      </w:r>
      <w:r>
        <w:rPr>
          <w:sz w:val="20"/>
          <w:szCs w:val="20"/>
        </w:rPr>
        <w:tab/>
      </w:r>
      <w:r>
        <w:rPr>
          <w:sz w:val="20"/>
          <w:szCs w:val="20"/>
        </w:rPr>
        <w:tab/>
        <w:t>Date :</w:t>
      </w:r>
    </w:p>
    <w:p>
      <w:pPr>
        <w:rPr>
          <w:sz w:val="20"/>
          <w:szCs w:val="20"/>
        </w:rPr>
      </w:pPr>
    </w:p>
    <w:p>
      <w:pPr>
        <w:rPr>
          <w:sz w:val="20"/>
          <w:szCs w:val="20"/>
        </w:rPr>
      </w:pPr>
      <w:r>
        <w:rPr>
          <w:sz w:val="20"/>
          <w:szCs w:val="20"/>
        </w:rPr>
        <w:t>Signature :</w:t>
      </w:r>
    </w:p>
    <w:p>
      <w:pPr>
        <w:rPr>
          <w:sz w:val="20"/>
          <w:szCs w:val="20"/>
        </w:rPr>
      </w:pPr>
      <w:r>
        <w:rPr>
          <w:sz w:val="20"/>
          <w:szCs w:val="20"/>
        </w:rPr>
        <w:t>Signature :</w:t>
      </w:r>
    </w:p>
    <w:p>
      <w:pPr>
        <w:rPr>
          <w:sz w:val="20"/>
          <w:szCs w:val="20"/>
        </w:rPr>
      </w:pPr>
    </w:p>
    <w:p>
      <w:pPr>
        <w:rPr>
          <w:sz w:val="20"/>
          <w:szCs w:val="20"/>
        </w:rPr>
      </w:pPr>
      <w:r>
        <w:rPr>
          <w:sz w:val="20"/>
          <w:szCs w:val="20"/>
        </w:rPr>
        <w:t xml:space="preserve">Position / </w:t>
      </w:r>
      <w:proofErr w:type="spellStart"/>
      <w:r>
        <w:rPr>
          <w:sz w:val="20"/>
          <w:szCs w:val="20"/>
        </w:rPr>
        <w:t>Title</w:t>
      </w:r>
      <w:proofErr w:type="spellEnd"/>
      <w:r>
        <w:rPr>
          <w:sz w:val="20"/>
          <w:szCs w:val="20"/>
        </w:rPr>
        <w:t> :</w:t>
      </w:r>
    </w:p>
    <w:p>
      <w:pPr>
        <w:rPr>
          <w:sz w:val="20"/>
          <w:szCs w:val="20"/>
        </w:rPr>
      </w:pPr>
      <w:r>
        <w:rPr>
          <w:sz w:val="20"/>
          <w:szCs w:val="20"/>
        </w:rPr>
        <w:t>Fonction / Civilité :</w:t>
      </w:r>
    </w:p>
    <w:sectPr>
      <w:type w:val="continuous"/>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CC"/>
    <w:family w:val="modern"/>
    <w:pitch w:val="fixed"/>
    <w:sig w:usb0="E00002FF" w:usb1="0000FCFF" w:usb2="00000001" w:usb3="00000000" w:csb0="0000019F" w:csb1="00000000"/>
  </w:font>
  <w:font w:name="TimesNewRomanPS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615592"/>
      <w:docPartObj>
        <w:docPartGallery w:val="Page Numbers (Bottom of Page)"/>
        <w:docPartUnique/>
      </w:docPartObj>
    </w:sdtPr>
    <w:sdtEndPr>
      <w:rPr>
        <w:noProof/>
      </w:rPr>
    </w:sdtEndPr>
    <w:sdtContent>
      <w:p>
        <w:pPr>
          <w:pStyle w:val="Pieddepage"/>
          <w:jc w:val="center"/>
        </w:pPr>
        <w:r>
          <w:fldChar w:fldCharType="begin"/>
        </w:r>
        <w:r>
          <w:instrText xml:space="preserve"> PAGE   \* MERGEFORMAT </w:instrText>
        </w:r>
        <w:r>
          <w:fldChar w:fldCharType="separate"/>
        </w:r>
        <w:r>
          <w:rPr>
            <w:noProof/>
          </w:rPr>
          <w:t>2</w:t>
        </w:r>
        <w:r>
          <w:rPr>
            <w:noProof/>
          </w:rPr>
          <w:fldChar w:fldCharType="end"/>
        </w:r>
      </w:p>
    </w:sdtContent>
  </w:sdt>
  <w:p>
    <w:pPr>
      <w:pStyle w:val="Pieddepage"/>
      <w:rPr>
        <w:sz w:val="20"/>
        <w:szCs w:val="20"/>
      </w:rPr>
    </w:pPr>
    <w:r>
      <w:rPr>
        <w:sz w:val="20"/>
        <w:szCs w:val="20"/>
      </w:rPr>
      <w:t xml:space="preserve">Version </w:t>
    </w:r>
    <w:proofErr w:type="spellStart"/>
    <w:r>
      <w:rPr>
        <w:sz w:val="20"/>
        <w:szCs w:val="20"/>
      </w:rPr>
      <w:t>dated</w:t>
    </w:r>
    <w:proofErr w:type="spellEnd"/>
    <w:r>
      <w:rPr>
        <w:sz w:val="20"/>
        <w:szCs w:val="20"/>
      </w:rPr>
      <w:t xml:space="preserve"> - 13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A3A8EA1C"/>
    <w:lvl w:ilvl="0">
      <w:start w:val="1"/>
      <w:numFmt w:val="decimal"/>
      <w:pStyle w:val="Titre1"/>
      <w:lvlText w:val="%1."/>
      <w:legacy w:legacy="1" w:legacySpace="0" w:legacyIndent="708"/>
      <w:lvlJc w:val="left"/>
      <w:pPr>
        <w:ind w:left="708" w:hanging="708"/>
      </w:pPr>
      <w:rPr>
        <w:rFonts w:cs="Times New Roman"/>
      </w:rPr>
    </w:lvl>
    <w:lvl w:ilvl="1">
      <w:start w:val="1"/>
      <w:numFmt w:val="decimal"/>
      <w:pStyle w:val="Titre2"/>
      <w:lvlText w:val="%1.%2."/>
      <w:legacy w:legacy="1" w:legacySpace="0" w:legacyIndent="708"/>
      <w:lvlJc w:val="left"/>
      <w:pPr>
        <w:ind w:left="1134" w:hanging="708"/>
      </w:pPr>
      <w:rPr>
        <w:rFonts w:cs="Times New Roman"/>
        <w:color w:val="auto"/>
      </w:rPr>
    </w:lvl>
    <w:lvl w:ilvl="2">
      <w:start w:val="1"/>
      <w:numFmt w:val="decimal"/>
      <w:pStyle w:val="Titre3"/>
      <w:lvlText w:val="%1.%2.%3."/>
      <w:legacy w:legacy="1" w:legacySpace="0" w:legacyIndent="708"/>
      <w:lvlJc w:val="left"/>
      <w:pPr>
        <w:ind w:left="1412" w:hanging="708"/>
      </w:pPr>
      <w:rPr>
        <w:rFonts w:cs="Times New Roman"/>
        <w:strike w:val="0"/>
        <w:color w:val="auto"/>
      </w:rPr>
    </w:lvl>
    <w:lvl w:ilvl="3">
      <w:start w:val="1"/>
      <w:numFmt w:val="decimal"/>
      <w:pStyle w:val="Titre4"/>
      <w:lvlText w:val="%1.%2.%3.%4."/>
      <w:legacy w:legacy="1" w:legacySpace="0" w:legacyIndent="708"/>
      <w:lvlJc w:val="left"/>
      <w:pPr>
        <w:ind w:left="2290" w:hanging="708"/>
      </w:pPr>
      <w:rPr>
        <w:rFonts w:cs="Times New Roman"/>
      </w:rPr>
    </w:lvl>
    <w:lvl w:ilvl="4">
      <w:start w:val="1"/>
      <w:numFmt w:val="decimal"/>
      <w:pStyle w:val="Titre5"/>
      <w:lvlText w:val="%1.%2.%3.%4.%5."/>
      <w:legacy w:legacy="1" w:legacySpace="0" w:legacyIndent="708"/>
      <w:lvlJc w:val="left"/>
      <w:pPr>
        <w:ind w:left="3298" w:hanging="708"/>
      </w:pPr>
      <w:rPr>
        <w:rFonts w:cs="Times New Roman"/>
      </w:rPr>
    </w:lvl>
    <w:lvl w:ilvl="5">
      <w:start w:val="1"/>
      <w:numFmt w:val="decimal"/>
      <w:pStyle w:val="Titre6"/>
      <w:lvlText w:val="%1.%2.%3.%4.%5.%6."/>
      <w:legacy w:legacy="1" w:legacySpace="0" w:legacyIndent="708"/>
      <w:lvlJc w:val="left"/>
      <w:pPr>
        <w:ind w:left="5472" w:hanging="708"/>
      </w:pPr>
      <w:rPr>
        <w:rFonts w:cs="Times New Roman"/>
      </w:rPr>
    </w:lvl>
    <w:lvl w:ilvl="6">
      <w:start w:val="1"/>
      <w:numFmt w:val="decimal"/>
      <w:pStyle w:val="Titre7"/>
      <w:lvlText w:val="%1.%2.%3.%4.%5.%6.%7."/>
      <w:legacy w:legacy="1" w:legacySpace="0" w:legacyIndent="708"/>
      <w:lvlJc w:val="left"/>
      <w:pPr>
        <w:ind w:left="4956" w:hanging="708"/>
      </w:pPr>
      <w:rPr>
        <w:rFonts w:cs="Times New Roman"/>
      </w:rPr>
    </w:lvl>
    <w:lvl w:ilvl="7">
      <w:start w:val="1"/>
      <w:numFmt w:val="decimal"/>
      <w:pStyle w:val="Titre8"/>
      <w:lvlText w:val="%1.%2.%3.%4.%5.%6.%7.%8."/>
      <w:legacy w:legacy="1" w:legacySpace="0" w:legacyIndent="708"/>
      <w:lvlJc w:val="left"/>
      <w:pPr>
        <w:ind w:left="5664" w:hanging="708"/>
      </w:pPr>
      <w:rPr>
        <w:rFonts w:cs="Times New Roman"/>
      </w:rPr>
    </w:lvl>
    <w:lvl w:ilvl="8">
      <w:start w:val="1"/>
      <w:numFmt w:val="decimal"/>
      <w:pStyle w:val="Titre9"/>
      <w:lvlText w:val="%1.%2.%3.%4.%5.%6.%7.%8.%9."/>
      <w:legacy w:legacy="1" w:legacySpace="0" w:legacyIndent="708"/>
      <w:lvlJc w:val="left"/>
      <w:pPr>
        <w:ind w:left="6372" w:hanging="708"/>
      </w:pPr>
      <w:rPr>
        <w:rFonts w:cs="Times New Roman"/>
      </w:rPr>
    </w:lvl>
  </w:abstractNum>
  <w:abstractNum w:abstractNumId="1" w15:restartNumberingAfterBreak="0">
    <w:nsid w:val="000E3F63"/>
    <w:multiLevelType w:val="hybridMultilevel"/>
    <w:tmpl w:val="F0AA2B9C"/>
    <w:lvl w:ilvl="0" w:tplc="0809001B">
      <w:start w:val="1"/>
      <w:numFmt w:val="lowerRoman"/>
      <w:lvlText w:val="%1."/>
      <w:lvlJc w:val="right"/>
      <w:pPr>
        <w:ind w:left="1425" w:hanging="705"/>
      </w:pPr>
      <w:rPr>
        <w:rFonts w:hint="default"/>
        <w:b w:val="0"/>
        <w:sz w:val="20"/>
        <w:szCs w:val="20"/>
      </w:rPr>
    </w:lvl>
    <w:lvl w:ilvl="1" w:tplc="0809001B">
      <w:start w:val="1"/>
      <w:numFmt w:val="lowerRoman"/>
      <w:lvlText w:val="%2."/>
      <w:lvlJc w:val="righ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4CE09BF"/>
    <w:multiLevelType w:val="hybridMultilevel"/>
    <w:tmpl w:val="04C69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D926AF"/>
    <w:multiLevelType w:val="hybridMultilevel"/>
    <w:tmpl w:val="D0CE133C"/>
    <w:lvl w:ilvl="0" w:tplc="42681FD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300601D0"/>
    <w:multiLevelType w:val="hybridMultilevel"/>
    <w:tmpl w:val="5992B6F0"/>
    <w:lvl w:ilvl="0" w:tplc="3CB41B36">
      <w:start w:val="5"/>
      <w:numFmt w:val="decimal"/>
      <w:lvlText w:val="%1"/>
      <w:lvlJc w:val="left"/>
      <w:pPr>
        <w:ind w:left="1065" w:hanging="705"/>
      </w:pPr>
      <w:rPr>
        <w:rFonts w:ascii="Arial" w:hAnsi="Arial" w:cs="Arial"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F52F79"/>
    <w:multiLevelType w:val="hybridMultilevel"/>
    <w:tmpl w:val="BA980E20"/>
    <w:lvl w:ilvl="0" w:tplc="ABF43604">
      <w:start w:val="9"/>
      <w:numFmt w:val="decimal"/>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32593C64"/>
    <w:multiLevelType w:val="hybridMultilevel"/>
    <w:tmpl w:val="0C022B66"/>
    <w:lvl w:ilvl="0" w:tplc="5DA055AA">
      <w:start w:val="1"/>
      <w:numFmt w:val="decimal"/>
      <w:lvlText w:val="%1."/>
      <w:lvlJc w:val="left"/>
      <w:pPr>
        <w:ind w:left="72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021B81"/>
    <w:multiLevelType w:val="hybridMultilevel"/>
    <w:tmpl w:val="F0AA2B9C"/>
    <w:lvl w:ilvl="0" w:tplc="0809001B">
      <w:start w:val="1"/>
      <w:numFmt w:val="lowerRoman"/>
      <w:lvlText w:val="%1."/>
      <w:lvlJc w:val="right"/>
      <w:pPr>
        <w:ind w:left="1425" w:hanging="705"/>
      </w:pPr>
      <w:rPr>
        <w:rFonts w:hint="default"/>
        <w:b w:val="0"/>
        <w:sz w:val="20"/>
        <w:szCs w:val="20"/>
      </w:rPr>
    </w:lvl>
    <w:lvl w:ilvl="1" w:tplc="0809001B">
      <w:start w:val="1"/>
      <w:numFmt w:val="lowerRoman"/>
      <w:lvlText w:val="%2."/>
      <w:lvlJc w:val="righ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9DB4806"/>
    <w:multiLevelType w:val="hybridMultilevel"/>
    <w:tmpl w:val="AFA619C6"/>
    <w:lvl w:ilvl="0" w:tplc="08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F270B77"/>
    <w:multiLevelType w:val="hybridMultilevel"/>
    <w:tmpl w:val="284EB6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6020E4B"/>
    <w:multiLevelType w:val="hybridMultilevel"/>
    <w:tmpl w:val="A3DCA270"/>
    <w:lvl w:ilvl="0" w:tplc="08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4C9B2009"/>
    <w:multiLevelType w:val="hybridMultilevel"/>
    <w:tmpl w:val="3F9A4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EB59E8"/>
    <w:multiLevelType w:val="hybridMultilevel"/>
    <w:tmpl w:val="B434C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B14C48"/>
    <w:multiLevelType w:val="hybridMultilevel"/>
    <w:tmpl w:val="710C78F0"/>
    <w:lvl w:ilvl="0" w:tplc="0809001B">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4DC1B36"/>
    <w:multiLevelType w:val="hybridMultilevel"/>
    <w:tmpl w:val="827AF410"/>
    <w:lvl w:ilvl="0" w:tplc="8BE07096">
      <w:start w:val="1"/>
      <w:numFmt w:val="decimal"/>
      <w:lvlText w:val="%1"/>
      <w:lvlJc w:val="left"/>
      <w:pPr>
        <w:ind w:left="1065" w:hanging="705"/>
      </w:pPr>
      <w:rPr>
        <w:rFonts w:ascii="Arial" w:hAnsi="Arial" w:cs="Arial" w:hint="default"/>
        <w:b w:val="0"/>
        <w:sz w:val="20"/>
        <w:szCs w:val="2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34028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6" w15:restartNumberingAfterBreak="0">
    <w:nsid w:val="754C43BF"/>
    <w:multiLevelType w:val="singleLevel"/>
    <w:tmpl w:val="518CE7F8"/>
    <w:lvl w:ilvl="0">
      <w:start w:val="1"/>
      <w:numFmt w:val="upperLetter"/>
      <w:lvlText w:val="(%1)"/>
      <w:legacy w:legacy="1" w:legacySpace="0" w:legacyIndent="720"/>
      <w:lvlJc w:val="left"/>
      <w:pPr>
        <w:ind w:left="720" w:hanging="720"/>
      </w:pPr>
      <w:rPr>
        <w:rFonts w:cs="Times New Roman"/>
      </w:rPr>
    </w:lvl>
  </w:abstractNum>
  <w:abstractNum w:abstractNumId="17" w15:restartNumberingAfterBreak="0">
    <w:nsid w:val="7F1A4EBF"/>
    <w:multiLevelType w:val="hybridMultilevel"/>
    <w:tmpl w:val="394EE1C6"/>
    <w:lvl w:ilvl="0" w:tplc="25E4FFC8">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F7E6882"/>
    <w:multiLevelType w:val="hybridMultilevel"/>
    <w:tmpl w:val="A70027F2"/>
    <w:lvl w:ilvl="0" w:tplc="27E4B81C">
      <w:start w:val="3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8"/>
  </w:num>
  <w:num w:numId="3">
    <w:abstractNumId w:val="16"/>
  </w:num>
  <w:num w:numId="4">
    <w:abstractNumId w:val="0"/>
  </w:num>
  <w:num w:numId="5">
    <w:abstractNumId w:val="15"/>
  </w:num>
  <w:num w:numId="6">
    <w:abstractNumId w:val="3"/>
  </w:num>
  <w:num w:numId="7">
    <w:abstractNumId w:val="5"/>
  </w:num>
  <w:num w:numId="8">
    <w:abstractNumId w:val="18"/>
  </w:num>
  <w:num w:numId="9">
    <w:abstractNumId w:val="6"/>
  </w:num>
  <w:num w:numId="10">
    <w:abstractNumId w:val="9"/>
  </w:num>
  <w:num w:numId="11">
    <w:abstractNumId w:val="11"/>
  </w:num>
  <w:num w:numId="12">
    <w:abstractNumId w:val="17"/>
  </w:num>
  <w:num w:numId="13">
    <w:abstractNumId w:val="12"/>
  </w:num>
  <w:num w:numId="14">
    <w:abstractNumId w:val="2"/>
  </w:num>
  <w:num w:numId="15">
    <w:abstractNumId w:val="14"/>
  </w:num>
  <w:num w:numId="16">
    <w:abstractNumId w:val="1"/>
  </w:num>
  <w:num w:numId="17">
    <w:abstractNumId w:val="7"/>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D4AF619-D7D4-4374-AE4D-74C4FE1C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left"/>
    </w:pPr>
    <w:rPr>
      <w:rFonts w:ascii="Times New Roman" w:eastAsia="Times New Roman" w:hAnsi="Times New Roman" w:cs="Times New Roman"/>
      <w:sz w:val="24"/>
      <w:szCs w:val="24"/>
      <w:lang w:eastAsia="fr-FR"/>
    </w:rPr>
  </w:style>
  <w:style w:type="paragraph" w:styleId="Titre1">
    <w:name w:val="heading 1"/>
    <w:basedOn w:val="Normal"/>
    <w:next w:val="Titre2"/>
    <w:link w:val="Titre1Car"/>
    <w:qFormat/>
    <w:pPr>
      <w:keepNext/>
      <w:keepLines/>
      <w:numPr>
        <w:numId w:val="4"/>
      </w:numPr>
      <w:spacing w:after="240" w:line="360" w:lineRule="auto"/>
      <w:jc w:val="both"/>
      <w:outlineLvl w:val="0"/>
    </w:pPr>
    <w:rPr>
      <w:b/>
      <w:bCs/>
      <w:caps/>
      <w:kern w:val="28"/>
      <w:lang w:val="en-GB" w:eastAsia="en-US"/>
    </w:rPr>
  </w:style>
  <w:style w:type="paragraph" w:styleId="Titre2">
    <w:name w:val="heading 2"/>
    <w:basedOn w:val="Normal"/>
    <w:link w:val="Titre2Car"/>
    <w:qFormat/>
    <w:pPr>
      <w:numPr>
        <w:ilvl w:val="1"/>
        <w:numId w:val="4"/>
      </w:numPr>
      <w:spacing w:after="240" w:line="360" w:lineRule="auto"/>
      <w:ind w:left="706"/>
      <w:jc w:val="both"/>
      <w:outlineLvl w:val="1"/>
    </w:pPr>
    <w:rPr>
      <w:lang w:val="en-GB" w:eastAsia="en-US"/>
    </w:rPr>
  </w:style>
  <w:style w:type="paragraph" w:styleId="Titre3">
    <w:name w:val="heading 3"/>
    <w:basedOn w:val="Normal"/>
    <w:link w:val="Titre3Car"/>
    <w:qFormat/>
    <w:pPr>
      <w:numPr>
        <w:ilvl w:val="2"/>
        <w:numId w:val="4"/>
      </w:numPr>
      <w:spacing w:after="240" w:line="360" w:lineRule="auto"/>
      <w:ind w:hanging="706"/>
      <w:jc w:val="both"/>
      <w:outlineLvl w:val="2"/>
    </w:pPr>
    <w:rPr>
      <w:lang w:val="en-GB" w:eastAsia="en-US"/>
    </w:rPr>
  </w:style>
  <w:style w:type="paragraph" w:styleId="Titre4">
    <w:name w:val="heading 4"/>
    <w:basedOn w:val="Normal"/>
    <w:link w:val="Titre4Car"/>
    <w:qFormat/>
    <w:pPr>
      <w:numPr>
        <w:ilvl w:val="3"/>
        <w:numId w:val="4"/>
      </w:numPr>
      <w:spacing w:after="240" w:line="360" w:lineRule="auto"/>
      <w:ind w:hanging="850"/>
      <w:jc w:val="both"/>
      <w:outlineLvl w:val="3"/>
    </w:pPr>
    <w:rPr>
      <w:lang w:val="en-GB" w:eastAsia="en-US"/>
    </w:rPr>
  </w:style>
  <w:style w:type="paragraph" w:styleId="Titre5">
    <w:name w:val="heading 5"/>
    <w:basedOn w:val="Normal"/>
    <w:link w:val="Titre5Car"/>
    <w:qFormat/>
    <w:pPr>
      <w:numPr>
        <w:ilvl w:val="4"/>
        <w:numId w:val="4"/>
      </w:numPr>
      <w:spacing w:after="240" w:line="360" w:lineRule="auto"/>
      <w:ind w:hanging="1008"/>
      <w:jc w:val="both"/>
      <w:outlineLvl w:val="4"/>
    </w:pPr>
    <w:rPr>
      <w:lang w:val="en-GB" w:eastAsia="en-US"/>
    </w:rPr>
  </w:style>
  <w:style w:type="paragraph" w:styleId="Titre6">
    <w:name w:val="heading 6"/>
    <w:basedOn w:val="Normal"/>
    <w:link w:val="Titre6Car"/>
    <w:qFormat/>
    <w:pPr>
      <w:numPr>
        <w:ilvl w:val="5"/>
        <w:numId w:val="4"/>
      </w:numPr>
      <w:spacing w:after="240" w:line="360" w:lineRule="auto"/>
      <w:ind w:hanging="1512"/>
      <w:jc w:val="both"/>
      <w:outlineLvl w:val="5"/>
    </w:pPr>
    <w:rPr>
      <w:lang w:val="en-GB" w:eastAsia="en-US"/>
    </w:rPr>
  </w:style>
  <w:style w:type="paragraph" w:styleId="Titre7">
    <w:name w:val="heading 7"/>
    <w:basedOn w:val="Normal"/>
    <w:link w:val="Titre7Car"/>
    <w:qFormat/>
    <w:pPr>
      <w:numPr>
        <w:ilvl w:val="6"/>
        <w:numId w:val="4"/>
      </w:numPr>
      <w:spacing w:after="240" w:line="360" w:lineRule="auto"/>
      <w:jc w:val="both"/>
      <w:outlineLvl w:val="6"/>
    </w:pPr>
    <w:rPr>
      <w:lang w:val="en-GB" w:eastAsia="en-US"/>
    </w:rPr>
  </w:style>
  <w:style w:type="paragraph" w:styleId="Titre8">
    <w:name w:val="heading 8"/>
    <w:basedOn w:val="Normal"/>
    <w:link w:val="Titre8Car"/>
    <w:qFormat/>
    <w:pPr>
      <w:numPr>
        <w:ilvl w:val="7"/>
        <w:numId w:val="4"/>
      </w:numPr>
      <w:spacing w:after="240" w:line="360" w:lineRule="auto"/>
      <w:jc w:val="both"/>
      <w:outlineLvl w:val="7"/>
    </w:pPr>
    <w:rPr>
      <w:lang w:val="en-GB" w:eastAsia="en-US"/>
    </w:rPr>
  </w:style>
  <w:style w:type="paragraph" w:styleId="Titre9">
    <w:name w:val="heading 9"/>
    <w:basedOn w:val="Normal"/>
    <w:link w:val="Titre9Car"/>
    <w:qFormat/>
    <w:pPr>
      <w:numPr>
        <w:ilvl w:val="8"/>
        <w:numId w:val="4"/>
      </w:numPr>
      <w:spacing w:after="240" w:line="360" w:lineRule="auto"/>
      <w:jc w:val="both"/>
      <w:outlineLvl w:val="8"/>
    </w:pPr>
    <w:rPr>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pPr>
      <w:ind w:left="720"/>
    </w:pPr>
  </w:style>
  <w:style w:type="character" w:customStyle="1" w:styleId="Titre1Car">
    <w:name w:val="Titre 1 Car"/>
    <w:basedOn w:val="Policepardfaut"/>
    <w:link w:val="Titre1"/>
    <w:rPr>
      <w:rFonts w:ascii="Times New Roman" w:eastAsia="Times New Roman" w:hAnsi="Times New Roman" w:cs="Times New Roman"/>
      <w:b/>
      <w:bCs/>
      <w:caps/>
      <w:kern w:val="28"/>
      <w:sz w:val="24"/>
      <w:szCs w:val="24"/>
      <w:lang w:val="en-GB"/>
    </w:rPr>
  </w:style>
  <w:style w:type="character" w:customStyle="1" w:styleId="Titre2Car">
    <w:name w:val="Titre 2 Car"/>
    <w:basedOn w:val="Policepardfaut"/>
    <w:link w:val="Titre2"/>
    <w:rPr>
      <w:rFonts w:ascii="Times New Roman" w:eastAsia="Times New Roman" w:hAnsi="Times New Roman" w:cs="Times New Roman"/>
      <w:sz w:val="24"/>
      <w:szCs w:val="24"/>
      <w:lang w:val="en-GB"/>
    </w:rPr>
  </w:style>
  <w:style w:type="character" w:customStyle="1" w:styleId="Titre3Car">
    <w:name w:val="Titre 3 Car"/>
    <w:basedOn w:val="Policepardfaut"/>
    <w:link w:val="Titre3"/>
    <w:rPr>
      <w:rFonts w:ascii="Times New Roman" w:eastAsia="Times New Roman" w:hAnsi="Times New Roman" w:cs="Times New Roman"/>
      <w:sz w:val="24"/>
      <w:szCs w:val="24"/>
      <w:lang w:val="en-GB"/>
    </w:rPr>
  </w:style>
  <w:style w:type="character" w:customStyle="1" w:styleId="Titre4Car">
    <w:name w:val="Titre 4 Car"/>
    <w:basedOn w:val="Policepardfaut"/>
    <w:link w:val="Titre4"/>
    <w:rPr>
      <w:rFonts w:ascii="Times New Roman" w:eastAsia="Times New Roman" w:hAnsi="Times New Roman" w:cs="Times New Roman"/>
      <w:sz w:val="24"/>
      <w:szCs w:val="24"/>
      <w:lang w:val="en-GB"/>
    </w:rPr>
  </w:style>
  <w:style w:type="character" w:customStyle="1" w:styleId="Titre5Car">
    <w:name w:val="Titre 5 Car"/>
    <w:basedOn w:val="Policepardfaut"/>
    <w:link w:val="Titre5"/>
    <w:rPr>
      <w:rFonts w:ascii="Times New Roman" w:eastAsia="Times New Roman" w:hAnsi="Times New Roman" w:cs="Times New Roman"/>
      <w:sz w:val="24"/>
      <w:szCs w:val="24"/>
      <w:lang w:val="en-GB"/>
    </w:rPr>
  </w:style>
  <w:style w:type="character" w:customStyle="1" w:styleId="Titre6Car">
    <w:name w:val="Titre 6 Car"/>
    <w:basedOn w:val="Policepardfaut"/>
    <w:link w:val="Titre6"/>
    <w:rPr>
      <w:rFonts w:ascii="Times New Roman" w:eastAsia="Times New Roman" w:hAnsi="Times New Roman" w:cs="Times New Roman"/>
      <w:sz w:val="24"/>
      <w:szCs w:val="24"/>
      <w:lang w:val="en-GB"/>
    </w:rPr>
  </w:style>
  <w:style w:type="character" w:customStyle="1" w:styleId="Titre7Car">
    <w:name w:val="Titre 7 Car"/>
    <w:basedOn w:val="Policepardfaut"/>
    <w:link w:val="Titre7"/>
    <w:rPr>
      <w:rFonts w:ascii="Times New Roman" w:eastAsia="Times New Roman" w:hAnsi="Times New Roman" w:cs="Times New Roman"/>
      <w:sz w:val="24"/>
      <w:szCs w:val="24"/>
      <w:lang w:val="en-GB"/>
    </w:rPr>
  </w:style>
  <w:style w:type="character" w:customStyle="1" w:styleId="Titre8Car">
    <w:name w:val="Titre 8 Car"/>
    <w:basedOn w:val="Policepardfaut"/>
    <w:link w:val="Titre8"/>
    <w:rPr>
      <w:rFonts w:ascii="Times New Roman" w:eastAsia="Times New Roman" w:hAnsi="Times New Roman" w:cs="Times New Roman"/>
      <w:sz w:val="24"/>
      <w:szCs w:val="24"/>
      <w:lang w:val="en-GB"/>
    </w:rPr>
  </w:style>
  <w:style w:type="character" w:customStyle="1" w:styleId="Titre9Car">
    <w:name w:val="Titre 9 Car"/>
    <w:basedOn w:val="Policepardfaut"/>
    <w:link w:val="Titre9"/>
    <w:rPr>
      <w:rFonts w:ascii="Times New Roman" w:eastAsia="Times New Roman" w:hAnsi="Times New Roman" w:cs="Times New Roman"/>
      <w:sz w:val="24"/>
      <w:szCs w:val="24"/>
      <w:lang w:val="en-GB"/>
    </w:rPr>
  </w:style>
  <w:style w:type="paragraph" w:customStyle="1" w:styleId="Paragraphedeliste1">
    <w:name w:val="Paragraphe de liste1"/>
    <w:basedOn w:val="Normal"/>
    <w:uiPriority w:val="99"/>
    <w:pPr>
      <w:ind w:left="720"/>
    </w:pPr>
  </w:style>
  <w:style w:type="paragraph" w:styleId="Normalcentr">
    <w:name w:val="Block Text"/>
    <w:basedOn w:val="Normal"/>
    <w:uiPriority w:val="99"/>
    <w:pPr>
      <w:spacing w:before="100" w:beforeAutospacing="1" w:after="100" w:afterAutospacing="1"/>
      <w:ind w:left="720" w:right="-199" w:hanging="720"/>
    </w:pPr>
    <w:rPr>
      <w:sz w:val="20"/>
      <w:szCs w:val="20"/>
      <w:lang w:val="en-US"/>
    </w:rPr>
  </w:style>
  <w:style w:type="character" w:styleId="Lienhypertexte">
    <w:name w:val="Hyperlink"/>
    <w:basedOn w:val="Policepardfaut"/>
    <w:rPr>
      <w:rFonts w:cs="Times New Roman"/>
      <w:color w:val="0000FF"/>
      <w:u w:val="single"/>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eastAsia="Times New Roman" w:hAnsi="Tahoma" w:cs="Tahoma"/>
      <w:sz w:val="16"/>
      <w:szCs w:val="16"/>
      <w:lang w:eastAsia="fr-FR"/>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Times New Roman" w:eastAsia="Times New Roman" w:hAnsi="Times New Roman" w:cs="Times New Roman"/>
      <w:sz w:val="24"/>
      <w:szCs w:val="24"/>
      <w:lang w:eastAsia="fr-FR"/>
    </w:r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Pr>
      <w:rFonts w:ascii="Calibri" w:eastAsia="Calibri" w:hAnsi="Calibri"/>
      <w:sz w:val="22"/>
      <w:szCs w:val="21"/>
      <w:lang w:eastAsia="en-US"/>
    </w:rPr>
  </w:style>
  <w:style w:type="character" w:customStyle="1" w:styleId="TextebrutCar">
    <w:name w:val="Texte brut Car"/>
    <w:basedOn w:val="Policepardfaut"/>
    <w:link w:val="Textebrut"/>
    <w:uiPriority w:val="99"/>
    <w:rPr>
      <w:rFonts w:ascii="Calibri" w:eastAsia="Calibri" w:hAnsi="Calibri" w:cs="Times New Roman"/>
      <w:szCs w:val="21"/>
    </w:rPr>
  </w:style>
  <w:style w:type="paragraph" w:customStyle="1" w:styleId="HTMLBody">
    <w:name w:val="HTML Body"/>
    <w:pPr>
      <w:suppressAutoHyphens/>
      <w:autoSpaceDE w:val="0"/>
      <w:jc w:val="left"/>
    </w:pPr>
    <w:rPr>
      <w:rFonts w:ascii="Arial" w:eastAsia="Times New Roman" w:hAnsi="Arial" w:cs="Arial"/>
      <w:sz w:val="20"/>
      <w:szCs w:val="20"/>
      <w:lang w:eastAsia="zh-CN"/>
    </w:rPr>
  </w:style>
  <w:style w:type="paragraph" w:styleId="NormalWeb">
    <w:name w:val="Normal (Web)"/>
    <w:basedOn w:val="Normal"/>
    <w:uiPriority w:val="99"/>
    <w:semiHidden/>
    <w:unhideWhenUsed/>
    <w:pPr>
      <w:spacing w:before="100" w:beforeAutospacing="1" w:after="142" w:line="288" w:lineRule="auto"/>
    </w:pPr>
  </w:style>
  <w:style w:type="character" w:styleId="MachinecrireHTML">
    <w:name w:val="HTML Typewriter"/>
    <w:uiPriority w:val="99"/>
    <w:rPr>
      <w:rFonts w:ascii="Courier" w:eastAsia="Cambria" w:hAnsi="Courier" w:cs="Courier"/>
      <w:sz w:val="20"/>
    </w:rPr>
  </w:style>
  <w:style w:type="paragraph" w:customStyle="1" w:styleId="Default">
    <w:name w:val="Default"/>
    <w:pPr>
      <w:autoSpaceDE w:val="0"/>
      <w:autoSpaceDN w:val="0"/>
      <w:adjustRightInd w:val="0"/>
      <w:jc w:val="left"/>
    </w:pPr>
    <w:rPr>
      <w:rFonts w:ascii="Times New Roman" w:hAnsi="Times New Roman" w:cs="Times New Roman"/>
      <w:color w:val="000000"/>
      <w:sz w:val="24"/>
      <w:szCs w:val="24"/>
    </w:rPr>
  </w:style>
  <w:style w:type="paragraph" w:styleId="PrformatHTML">
    <w:name w:val="HTML Preformatted"/>
    <w:basedOn w:val="Normal"/>
    <w:link w:val="PrformatHTMLCar"/>
    <w:uiPriority w:val="99"/>
    <w:semiHidden/>
    <w:unhideWhenUsed/>
    <w:rPr>
      <w:rFonts w:ascii="Consolas" w:hAnsi="Consolas"/>
      <w:sz w:val="20"/>
      <w:szCs w:val="20"/>
    </w:rPr>
  </w:style>
  <w:style w:type="character" w:customStyle="1" w:styleId="PrformatHTMLCar">
    <w:name w:val="Préformaté HTML Car"/>
    <w:basedOn w:val="Policepardfaut"/>
    <w:link w:val="PrformatHTML"/>
    <w:uiPriority w:val="99"/>
    <w:semiHidden/>
    <w:rPr>
      <w:rFonts w:ascii="Consolas" w:eastAsia="Times New Roman" w:hAnsi="Consolas" w:cs="Times New Roman"/>
      <w:sz w:val="20"/>
      <w:szCs w:val="20"/>
      <w:lang w:eastAsia="fr-FR"/>
    </w:rPr>
  </w:style>
  <w:style w:type="paragraph" w:styleId="Rvision">
    <w:name w:val="Revision"/>
    <w:hidden/>
    <w:uiPriority w:val="99"/>
    <w:semiHidden/>
    <w:pPr>
      <w:jc w:val="left"/>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58181">
      <w:bodyDiv w:val="1"/>
      <w:marLeft w:val="0"/>
      <w:marRight w:val="0"/>
      <w:marTop w:val="0"/>
      <w:marBottom w:val="0"/>
      <w:divBdr>
        <w:top w:val="none" w:sz="0" w:space="0" w:color="auto"/>
        <w:left w:val="none" w:sz="0" w:space="0" w:color="auto"/>
        <w:bottom w:val="none" w:sz="0" w:space="0" w:color="auto"/>
        <w:right w:val="none" w:sz="0" w:space="0" w:color="auto"/>
      </w:divBdr>
    </w:div>
    <w:div w:id="67071014">
      <w:bodyDiv w:val="1"/>
      <w:marLeft w:val="0"/>
      <w:marRight w:val="0"/>
      <w:marTop w:val="0"/>
      <w:marBottom w:val="0"/>
      <w:divBdr>
        <w:top w:val="none" w:sz="0" w:space="0" w:color="auto"/>
        <w:left w:val="none" w:sz="0" w:space="0" w:color="auto"/>
        <w:bottom w:val="none" w:sz="0" w:space="0" w:color="auto"/>
        <w:right w:val="none" w:sz="0" w:space="0" w:color="auto"/>
      </w:divBdr>
    </w:div>
    <w:div w:id="317153685">
      <w:bodyDiv w:val="1"/>
      <w:marLeft w:val="0"/>
      <w:marRight w:val="0"/>
      <w:marTop w:val="0"/>
      <w:marBottom w:val="0"/>
      <w:divBdr>
        <w:top w:val="none" w:sz="0" w:space="0" w:color="auto"/>
        <w:left w:val="none" w:sz="0" w:space="0" w:color="auto"/>
        <w:bottom w:val="none" w:sz="0" w:space="0" w:color="auto"/>
        <w:right w:val="none" w:sz="0" w:space="0" w:color="auto"/>
      </w:divBdr>
    </w:div>
    <w:div w:id="439227287">
      <w:bodyDiv w:val="1"/>
      <w:marLeft w:val="0"/>
      <w:marRight w:val="0"/>
      <w:marTop w:val="0"/>
      <w:marBottom w:val="0"/>
      <w:divBdr>
        <w:top w:val="none" w:sz="0" w:space="0" w:color="auto"/>
        <w:left w:val="none" w:sz="0" w:space="0" w:color="auto"/>
        <w:bottom w:val="none" w:sz="0" w:space="0" w:color="auto"/>
        <w:right w:val="none" w:sz="0" w:space="0" w:color="auto"/>
      </w:divBdr>
    </w:div>
    <w:div w:id="485558646">
      <w:bodyDiv w:val="1"/>
      <w:marLeft w:val="0"/>
      <w:marRight w:val="0"/>
      <w:marTop w:val="0"/>
      <w:marBottom w:val="0"/>
      <w:divBdr>
        <w:top w:val="none" w:sz="0" w:space="0" w:color="auto"/>
        <w:left w:val="none" w:sz="0" w:space="0" w:color="auto"/>
        <w:bottom w:val="none" w:sz="0" w:space="0" w:color="auto"/>
        <w:right w:val="none" w:sz="0" w:space="0" w:color="auto"/>
      </w:divBdr>
    </w:div>
    <w:div w:id="531695465">
      <w:bodyDiv w:val="1"/>
      <w:marLeft w:val="0"/>
      <w:marRight w:val="0"/>
      <w:marTop w:val="0"/>
      <w:marBottom w:val="0"/>
      <w:divBdr>
        <w:top w:val="none" w:sz="0" w:space="0" w:color="auto"/>
        <w:left w:val="none" w:sz="0" w:space="0" w:color="auto"/>
        <w:bottom w:val="none" w:sz="0" w:space="0" w:color="auto"/>
        <w:right w:val="none" w:sz="0" w:space="0" w:color="auto"/>
      </w:divBdr>
    </w:div>
    <w:div w:id="838346934">
      <w:bodyDiv w:val="1"/>
      <w:marLeft w:val="0"/>
      <w:marRight w:val="0"/>
      <w:marTop w:val="0"/>
      <w:marBottom w:val="0"/>
      <w:divBdr>
        <w:top w:val="none" w:sz="0" w:space="0" w:color="auto"/>
        <w:left w:val="none" w:sz="0" w:space="0" w:color="auto"/>
        <w:bottom w:val="none" w:sz="0" w:space="0" w:color="auto"/>
        <w:right w:val="none" w:sz="0" w:space="0" w:color="auto"/>
      </w:divBdr>
    </w:div>
    <w:div w:id="854030820">
      <w:bodyDiv w:val="1"/>
      <w:marLeft w:val="0"/>
      <w:marRight w:val="0"/>
      <w:marTop w:val="0"/>
      <w:marBottom w:val="0"/>
      <w:divBdr>
        <w:top w:val="none" w:sz="0" w:space="0" w:color="auto"/>
        <w:left w:val="none" w:sz="0" w:space="0" w:color="auto"/>
        <w:bottom w:val="none" w:sz="0" w:space="0" w:color="auto"/>
        <w:right w:val="none" w:sz="0" w:space="0" w:color="auto"/>
      </w:divBdr>
    </w:div>
    <w:div w:id="1306083278">
      <w:bodyDiv w:val="1"/>
      <w:marLeft w:val="0"/>
      <w:marRight w:val="0"/>
      <w:marTop w:val="0"/>
      <w:marBottom w:val="0"/>
      <w:divBdr>
        <w:top w:val="none" w:sz="0" w:space="0" w:color="auto"/>
        <w:left w:val="none" w:sz="0" w:space="0" w:color="auto"/>
        <w:bottom w:val="none" w:sz="0" w:space="0" w:color="auto"/>
        <w:right w:val="none" w:sz="0" w:space="0" w:color="auto"/>
      </w:divBdr>
    </w:div>
    <w:div w:id="1382094857">
      <w:bodyDiv w:val="1"/>
      <w:marLeft w:val="0"/>
      <w:marRight w:val="0"/>
      <w:marTop w:val="0"/>
      <w:marBottom w:val="0"/>
      <w:divBdr>
        <w:top w:val="none" w:sz="0" w:space="0" w:color="auto"/>
        <w:left w:val="none" w:sz="0" w:space="0" w:color="auto"/>
        <w:bottom w:val="none" w:sz="0" w:space="0" w:color="auto"/>
        <w:right w:val="none" w:sz="0" w:space="0" w:color="auto"/>
      </w:divBdr>
    </w:div>
    <w:div w:id="1466657779">
      <w:bodyDiv w:val="1"/>
      <w:marLeft w:val="0"/>
      <w:marRight w:val="0"/>
      <w:marTop w:val="0"/>
      <w:marBottom w:val="0"/>
      <w:divBdr>
        <w:top w:val="none" w:sz="0" w:space="0" w:color="auto"/>
        <w:left w:val="none" w:sz="0" w:space="0" w:color="auto"/>
        <w:bottom w:val="none" w:sz="0" w:space="0" w:color="auto"/>
        <w:right w:val="none" w:sz="0" w:space="0" w:color="auto"/>
      </w:divBdr>
    </w:div>
    <w:div w:id="1517190090">
      <w:bodyDiv w:val="1"/>
      <w:marLeft w:val="0"/>
      <w:marRight w:val="0"/>
      <w:marTop w:val="0"/>
      <w:marBottom w:val="0"/>
      <w:divBdr>
        <w:top w:val="none" w:sz="0" w:space="0" w:color="auto"/>
        <w:left w:val="none" w:sz="0" w:space="0" w:color="auto"/>
        <w:bottom w:val="none" w:sz="0" w:space="0" w:color="auto"/>
        <w:right w:val="none" w:sz="0" w:space="0" w:color="auto"/>
      </w:divBdr>
    </w:div>
    <w:div w:id="1733968486">
      <w:bodyDiv w:val="1"/>
      <w:marLeft w:val="0"/>
      <w:marRight w:val="0"/>
      <w:marTop w:val="0"/>
      <w:marBottom w:val="0"/>
      <w:divBdr>
        <w:top w:val="none" w:sz="0" w:space="0" w:color="auto"/>
        <w:left w:val="none" w:sz="0" w:space="0" w:color="auto"/>
        <w:bottom w:val="none" w:sz="0" w:space="0" w:color="auto"/>
        <w:right w:val="none" w:sz="0" w:space="0" w:color="auto"/>
      </w:divBdr>
    </w:div>
    <w:div w:id="212391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105EE3ED312441AAA1E7080883039E" ma:contentTypeVersion="6" ma:contentTypeDescription="Create a new document." ma:contentTypeScope="" ma:versionID="c762c30faad36bf8e9dd6874e71b22a0">
  <xsd:schema xmlns:xsd="http://www.w3.org/2001/XMLSchema" xmlns:xs="http://www.w3.org/2001/XMLSchema" xmlns:p="http://schemas.microsoft.com/office/2006/metadata/properties" xmlns:ns2="ce7fae89-3837-42e9-88e8-bc6297eb7973" xmlns:ns3="ddbd4169-9d45-4bc3-b128-e846144fe9b7" targetNamespace="http://schemas.microsoft.com/office/2006/metadata/properties" ma:root="true" ma:fieldsID="f28a32da55b92a2426d79787923952a7" ns2:_="" ns3:_="">
    <xsd:import namespace="ce7fae89-3837-42e9-88e8-bc6297eb7973"/>
    <xsd:import namespace="ddbd4169-9d45-4bc3-b128-e846144fe9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fae89-3837-42e9-88e8-bc6297eb7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d4169-9d45-4bc3-b128-e846144fe9b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6C325-BDA0-447D-BAA0-A7C0191E5BA7}">
  <ds:schemaRefs>
    <ds:schemaRef ds:uri="http://schemas.microsoft.com/office/2006/documentManagement/types"/>
    <ds:schemaRef ds:uri="http://purl.org/dc/terms/"/>
    <ds:schemaRef ds:uri="ddbd4169-9d45-4bc3-b128-e846144fe9b7"/>
    <ds:schemaRef ds:uri="http://www.w3.org/XML/1998/namespace"/>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ce7fae89-3837-42e9-88e8-bc6297eb7973"/>
  </ds:schemaRefs>
</ds:datastoreItem>
</file>

<file path=customXml/itemProps2.xml><?xml version="1.0" encoding="utf-8"?>
<ds:datastoreItem xmlns:ds="http://schemas.openxmlformats.org/officeDocument/2006/customXml" ds:itemID="{C3375E8F-6BD7-4278-8D1F-9C196E1B1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fae89-3837-42e9-88e8-bc6297eb7973"/>
    <ds:schemaRef ds:uri="ddbd4169-9d45-4bc3-b128-e846144fe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45034A-8917-40EE-90F9-52A01E6F8150}">
  <ds:schemaRefs>
    <ds:schemaRef ds:uri="http://schemas.microsoft.com/sharepoint/v3/contenttype/forms"/>
  </ds:schemaRefs>
</ds:datastoreItem>
</file>

<file path=customXml/itemProps4.xml><?xml version="1.0" encoding="utf-8"?>
<ds:datastoreItem xmlns:ds="http://schemas.openxmlformats.org/officeDocument/2006/customXml" ds:itemID="{77A29833-82CD-4FE9-A35F-FECC730CF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11803</Words>
  <Characters>64917</Characters>
  <Application>Microsoft Office Word</Application>
  <DocSecurity>0</DocSecurity>
  <Lines>540</Lines>
  <Paragraphs>153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SICD1</Company>
  <LinksUpToDate>false</LinksUpToDate>
  <CharactersWithSpaces>76567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russellp</dc:creator>
  <cp:lastModifiedBy>Jérémy Del Bel</cp:lastModifiedBy>
  <cp:revision>3</cp:revision>
  <cp:lastPrinted>2019-11-11T09:42:00Z</cp:lastPrinted>
  <dcterms:created xsi:type="dcterms:W3CDTF">2022-07-18T07:57:00Z</dcterms:created>
  <dcterms:modified xsi:type="dcterms:W3CDTF">2022-07-18T07:57:00Z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0x0101009C105EE3ED312441AAA1E7080883039E</vt:lpwstr>
  </property>
  <property fmtid="{D5CDD505-2E9C-101B-9397-08002B2CF9AE}" pid="3" name="Order">
    <vt:r8>563000</vt:r8>
  </property>
</Properties>
</file>